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BF" w:rsidRPr="00D635BF" w:rsidRDefault="006D0C0B" w:rsidP="00D635BF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sz w:val="24"/>
          <w:szCs w:val="24"/>
          <w:highlight w:val="yellow"/>
        </w:rPr>
        <w:sectPr w:rsidR="00D635BF" w:rsidRPr="00D635BF" w:rsidSect="00D743FC">
          <w:headerReference w:type="default" r:id="rId8"/>
          <w:footerReference w:type="default" r:id="rId9"/>
          <w:headerReference w:type="first" r:id="rId10"/>
          <w:pgSz w:w="11900" w:h="16840" w:code="9"/>
          <w:pgMar w:top="1361" w:right="1361" w:bottom="1361" w:left="1361" w:header="709" w:footer="709" w:gutter="0"/>
          <w:cols w:space="292"/>
          <w:titlePg/>
          <w:docGrid w:linePitch="326"/>
        </w:sectPr>
      </w:pPr>
      <w:r w:rsidRPr="00D635BF">
        <w:rPr>
          <w:rFonts w:ascii="Arial" w:hAnsi="Arial" w:cs="Arial"/>
          <w:noProof/>
          <w:sz w:val="24"/>
          <w:szCs w:val="24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5869940</wp:posOffset>
                </wp:positionV>
                <wp:extent cx="6640195" cy="24765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3FC" w:rsidRDefault="006D0C0B" w:rsidP="00D635BF">
                            <w:pPr>
                              <w:spacing w:after="0"/>
                              <w:ind w:right="-46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D743FC" w:rsidRDefault="006D0C0B" w:rsidP="00D635BF">
                            <w:pPr>
                              <w:spacing w:after="0"/>
                              <w:ind w:right="-46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  <w:t>Money Matters</w:t>
                            </w:r>
                          </w:p>
                          <w:p w:rsidR="00D743FC" w:rsidRDefault="006D0C0B" w:rsidP="00D635BF">
                            <w:pPr>
                              <w:spacing w:after="0"/>
                              <w:ind w:right="-46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  <w:t>The County Council's Capital Financial Position</w:t>
                            </w:r>
                          </w:p>
                          <w:p w:rsidR="00D743FC" w:rsidRPr="0037393E" w:rsidRDefault="006D0C0B" w:rsidP="00D635BF">
                            <w:pPr>
                              <w:spacing w:after="0"/>
                              <w:ind w:right="-46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2018/19 Quarter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and 2019/20 Programme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22.85pt;height:195pt;margin-top:462.2pt;margin-left:-26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  <v:textbox>
                  <w:txbxContent>
                    <w:p w:rsidR="00D743FC" w:rsidP="00D635BF">
                      <w:pPr>
                        <w:spacing w:after="0"/>
                        <w:ind w:right="-46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D743FC" w:rsidP="00D635BF">
                      <w:pPr>
                        <w:spacing w:after="0"/>
                        <w:ind w:right="-46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  <w:t>Money Matters</w:t>
                      </w:r>
                    </w:p>
                    <w:p w:rsidR="00D743FC" w:rsidP="00D635BF">
                      <w:pPr>
                        <w:spacing w:after="0"/>
                        <w:ind w:right="-46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  <w:t>The County Council's Capital Financial Position</w:t>
                      </w:r>
                    </w:p>
                    <w:p w:rsidR="00D743FC" w:rsidRPr="0037393E" w:rsidP="00D635BF">
                      <w:pPr>
                        <w:spacing w:after="0"/>
                        <w:ind w:right="-46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  <w:t xml:space="preserve">2018/19 Quarter </w:t>
                      </w:r>
                      <w:r w:rsidR="009A31A7"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  <w:r w:rsidR="007119CE"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  <w:t xml:space="preserve"> and 2019/20 Programme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37"/>
        <w:gridCol w:w="3017"/>
      </w:tblGrid>
      <w:tr w:rsidR="007B0EB5" w:rsidTr="00D743FC">
        <w:trPr>
          <w:trHeight w:val="699"/>
        </w:trPr>
        <w:tc>
          <w:tcPr>
            <w:tcW w:w="562" w:type="dxa"/>
            <w:vAlign w:val="center"/>
          </w:tcPr>
          <w:p w:rsidR="00D635BF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437" w:type="dxa"/>
            <w:vAlign w:val="center"/>
          </w:tcPr>
          <w:p w:rsidR="00D635BF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5BF">
              <w:rPr>
                <w:rFonts w:ascii="Arial" w:hAnsi="Arial" w:cs="Arial"/>
                <w:b/>
                <w:bCs/>
                <w:sz w:val="24"/>
                <w:szCs w:val="24"/>
              </w:rPr>
              <w:t>Contents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635BF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5BF">
              <w:rPr>
                <w:rFonts w:ascii="Arial" w:hAnsi="Arial" w:cs="Arial"/>
                <w:b/>
                <w:bCs/>
                <w:sz w:val="24"/>
                <w:szCs w:val="24"/>
              </w:rPr>
              <w:t>Page</w:t>
            </w:r>
          </w:p>
        </w:tc>
      </w:tr>
      <w:tr w:rsidR="007B0EB5" w:rsidTr="00D743FC">
        <w:tc>
          <w:tcPr>
            <w:tcW w:w="562" w:type="dxa"/>
            <w:vAlign w:val="center"/>
          </w:tcPr>
          <w:p w:rsidR="00C6210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5B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:rsidR="00C6210F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7" w:type="dxa"/>
            <w:vAlign w:val="center"/>
          </w:tcPr>
          <w:p w:rsidR="00D635BF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3017" w:type="dxa"/>
            <w:vAlign w:val="center"/>
          </w:tcPr>
          <w:p w:rsidR="00D635BF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7B0EB5" w:rsidTr="00D743FC">
        <w:tc>
          <w:tcPr>
            <w:tcW w:w="562" w:type="dxa"/>
            <w:vAlign w:val="center"/>
          </w:tcPr>
          <w:p w:rsidR="00C6210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5B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:rsidR="00C6210F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7" w:type="dxa"/>
            <w:vAlign w:val="center"/>
          </w:tcPr>
          <w:p w:rsidR="00D635BF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2018/19 Delivery Programme</w:t>
            </w:r>
          </w:p>
        </w:tc>
        <w:tc>
          <w:tcPr>
            <w:tcW w:w="3017" w:type="dxa"/>
            <w:vAlign w:val="center"/>
          </w:tcPr>
          <w:p w:rsidR="00D635BF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7B0EB5" w:rsidTr="00D743FC">
        <w:tc>
          <w:tcPr>
            <w:tcW w:w="562" w:type="dxa"/>
            <w:vAlign w:val="center"/>
          </w:tcPr>
          <w:p w:rsidR="00C6210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5B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:rsidR="00C6210F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7" w:type="dxa"/>
            <w:vAlign w:val="center"/>
          </w:tcPr>
          <w:p w:rsidR="00D635BF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5BF">
              <w:rPr>
                <w:rFonts w:ascii="Arial" w:hAnsi="Arial" w:cs="Arial"/>
                <w:b/>
                <w:sz w:val="24"/>
                <w:szCs w:val="24"/>
              </w:rPr>
              <w:t>Variance Analysis</w:t>
            </w:r>
          </w:p>
        </w:tc>
        <w:tc>
          <w:tcPr>
            <w:tcW w:w="3017" w:type="dxa"/>
            <w:vAlign w:val="center"/>
          </w:tcPr>
          <w:p w:rsidR="00D635BF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7B0EB5" w:rsidTr="00D743FC">
        <w:tc>
          <w:tcPr>
            <w:tcW w:w="562" w:type="dxa"/>
            <w:vAlign w:val="center"/>
          </w:tcPr>
          <w:p w:rsidR="00C6210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5B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  <w:p w:rsidR="00C6210F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7" w:type="dxa"/>
            <w:vAlign w:val="center"/>
          </w:tcPr>
          <w:p w:rsidR="00D635BF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5BF">
              <w:rPr>
                <w:rFonts w:ascii="Arial" w:hAnsi="Arial" w:cs="Arial"/>
                <w:b/>
                <w:sz w:val="24"/>
                <w:szCs w:val="24"/>
              </w:rPr>
              <w:t>Narrative on Variances</w:t>
            </w:r>
          </w:p>
        </w:tc>
        <w:tc>
          <w:tcPr>
            <w:tcW w:w="3017" w:type="dxa"/>
            <w:vAlign w:val="center"/>
          </w:tcPr>
          <w:p w:rsidR="00D635BF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7B0EB5" w:rsidTr="00D743FC">
        <w:tc>
          <w:tcPr>
            <w:tcW w:w="562" w:type="dxa"/>
            <w:vAlign w:val="center"/>
          </w:tcPr>
          <w:p w:rsidR="007119CE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119CE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  <w:p w:rsidR="007119CE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7" w:type="dxa"/>
            <w:vAlign w:val="center"/>
          </w:tcPr>
          <w:p w:rsidR="007119CE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2019/20 Capital Delivery Programme</w:t>
            </w:r>
          </w:p>
        </w:tc>
        <w:tc>
          <w:tcPr>
            <w:tcW w:w="3017" w:type="dxa"/>
            <w:vAlign w:val="center"/>
          </w:tcPr>
          <w:p w:rsidR="007119CE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ind w:right="-4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</w:tbl>
    <w:p w:rsidR="00D635BF" w:rsidRPr="00D635BF" w:rsidRDefault="006D0C0B" w:rsidP="00D635BF">
      <w:pPr>
        <w:tabs>
          <w:tab w:val="left" w:pos="567"/>
          <w:tab w:val="left" w:pos="1134"/>
          <w:tab w:val="left" w:pos="1701"/>
        </w:tabs>
        <w:spacing w:after="0"/>
        <w:ind w:right="-46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D635BF" w:rsidRPr="00D635BF" w:rsidRDefault="006D0C0B" w:rsidP="00D635BF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  <w:highlight w:val="yellow"/>
        </w:rPr>
      </w:pPr>
    </w:p>
    <w:p w:rsidR="00D635BF" w:rsidRPr="00D635BF" w:rsidRDefault="006D0C0B" w:rsidP="00D635BF">
      <w:pPr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D635BF"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:rsidR="00705038" w:rsidRPr="00D635BF" w:rsidRDefault="006D0C0B" w:rsidP="00D635BF">
      <w:pPr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D635BF">
        <w:rPr>
          <w:rFonts w:ascii="Arial" w:hAnsi="Arial" w:cs="Arial"/>
          <w:b/>
          <w:sz w:val="24"/>
          <w:szCs w:val="24"/>
        </w:rPr>
        <w:t>Capital Programme Monitoring - December 2018</w:t>
      </w:r>
    </w:p>
    <w:p w:rsidR="005734DD" w:rsidRDefault="006D0C0B" w:rsidP="00D635BF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635BF">
        <w:rPr>
          <w:rFonts w:ascii="Arial" w:hAnsi="Arial" w:cs="Arial"/>
          <w:b/>
          <w:sz w:val="24"/>
          <w:szCs w:val="24"/>
        </w:rPr>
        <w:t>Summary</w:t>
      </w:r>
    </w:p>
    <w:p w:rsidR="006063B3" w:rsidRDefault="006D0C0B" w:rsidP="006063B3">
      <w:pPr>
        <w:pStyle w:val="ListParagraph"/>
        <w:tabs>
          <w:tab w:val="left" w:pos="567"/>
          <w:tab w:val="left" w:pos="1134"/>
          <w:tab w:val="left" w:pos="1701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063B3" w:rsidRPr="006063B3" w:rsidRDefault="006D0C0B" w:rsidP="006063B3">
      <w:pPr>
        <w:pStyle w:val="ListParagraph"/>
        <w:tabs>
          <w:tab w:val="left" w:pos="567"/>
          <w:tab w:val="left" w:pos="1134"/>
          <w:tab w:val="left" w:pos="1701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63B3">
        <w:rPr>
          <w:rFonts w:ascii="Arial" w:hAnsi="Arial" w:cs="Arial"/>
          <w:sz w:val="24"/>
          <w:szCs w:val="24"/>
        </w:rPr>
        <w:t>Cabinet on 13 September 2018 agreed a 2018/19 delivery programme of £114.817m which followed a detailed review of the multi-year capital programme and a prudent assessment of deliverability during the financial year.  The in-year delivery programm</w:t>
      </w:r>
      <w:r w:rsidRPr="006063B3">
        <w:rPr>
          <w:rFonts w:ascii="Arial" w:hAnsi="Arial" w:cs="Arial"/>
          <w:sz w:val="24"/>
          <w:szCs w:val="24"/>
        </w:rPr>
        <w:t>e has subsequently been increased to £120.903m to reflect approved changes.  The forecast outturn for 2018/19 based on the position at the end of quarter 3 is £131.030m against the agreed 2018/19 capital delivery programme of £120.903m, a variance of £10.1</w:t>
      </w:r>
      <w:r w:rsidRPr="006063B3">
        <w:rPr>
          <w:rFonts w:ascii="Arial" w:hAnsi="Arial" w:cs="Arial"/>
          <w:sz w:val="24"/>
          <w:szCs w:val="24"/>
        </w:rPr>
        <w:t xml:space="preserve">27m or c8.4%.  The variance is not the result of net overspending on schemes and is due to forecast earlier than planned delivery of programme activity which had been prudently profiled into 2019/20 and later years.  </w:t>
      </w:r>
    </w:p>
    <w:p w:rsidR="00D635BF" w:rsidRPr="00D635BF" w:rsidRDefault="006D0C0B" w:rsidP="00D635BF">
      <w:pPr>
        <w:pStyle w:val="ListParagraph"/>
        <w:tabs>
          <w:tab w:val="left" w:pos="567"/>
          <w:tab w:val="left" w:pos="1134"/>
          <w:tab w:val="left" w:pos="1701"/>
        </w:tabs>
        <w:ind w:hanging="720"/>
        <w:rPr>
          <w:rFonts w:ascii="Arial" w:hAnsi="Arial" w:cs="Arial"/>
          <w:b/>
          <w:sz w:val="24"/>
          <w:szCs w:val="24"/>
        </w:rPr>
      </w:pPr>
    </w:p>
    <w:p w:rsidR="00D635BF" w:rsidRPr="00D635BF" w:rsidRDefault="006D0C0B" w:rsidP="00D635BF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2018/19 Delivery Programme</w:t>
      </w:r>
    </w:p>
    <w:p w:rsidR="000D7518" w:rsidRPr="00D635BF" w:rsidRDefault="006D0C0B" w:rsidP="00D635BF">
      <w:pPr>
        <w:tabs>
          <w:tab w:val="left" w:pos="567"/>
          <w:tab w:val="left" w:pos="1134"/>
          <w:tab w:val="left" w:pos="170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 xml:space="preserve">The </w:t>
      </w:r>
      <w:r w:rsidRPr="00D635BF">
        <w:rPr>
          <w:rFonts w:ascii="Arial" w:hAnsi="Arial" w:cs="Arial"/>
          <w:sz w:val="24"/>
          <w:szCs w:val="24"/>
        </w:rPr>
        <w:t>2018/</w:t>
      </w:r>
      <w:r w:rsidRPr="00D635BF">
        <w:rPr>
          <w:rFonts w:ascii="Arial" w:hAnsi="Arial" w:cs="Arial"/>
          <w:sz w:val="24"/>
          <w:szCs w:val="24"/>
        </w:rPr>
        <w:t xml:space="preserve">19 </w:t>
      </w:r>
      <w:r w:rsidRPr="00D635BF">
        <w:rPr>
          <w:rFonts w:ascii="Arial" w:hAnsi="Arial" w:cs="Arial"/>
          <w:sz w:val="24"/>
          <w:szCs w:val="24"/>
        </w:rPr>
        <w:t>delivery programme</w:t>
      </w:r>
      <w:r w:rsidRPr="00D635BF">
        <w:rPr>
          <w:rFonts w:ascii="Arial" w:hAnsi="Arial" w:cs="Arial"/>
          <w:sz w:val="24"/>
          <w:szCs w:val="24"/>
        </w:rPr>
        <w:t xml:space="preserve"> of £114.817m agreed by Cabinet in September 2018 has increased to £120.903m reflect agreed additions and reprofiling </w:t>
      </w:r>
      <w:r w:rsidRPr="00D635BF">
        <w:rPr>
          <w:rFonts w:ascii="Arial" w:hAnsi="Arial" w:cs="Arial"/>
          <w:sz w:val="24"/>
          <w:szCs w:val="24"/>
        </w:rPr>
        <w:t xml:space="preserve">as set out in </w:t>
      </w:r>
      <w:r>
        <w:rPr>
          <w:rFonts w:ascii="Arial" w:hAnsi="Arial" w:cs="Arial"/>
          <w:sz w:val="24"/>
          <w:szCs w:val="24"/>
        </w:rPr>
        <w:br/>
      </w:r>
      <w:r w:rsidRPr="00D635BF">
        <w:rPr>
          <w:rFonts w:ascii="Arial" w:hAnsi="Arial" w:cs="Arial"/>
          <w:sz w:val="24"/>
          <w:szCs w:val="24"/>
        </w:rPr>
        <w:t>Table 1 below.</w:t>
      </w:r>
    </w:p>
    <w:p w:rsidR="005734DD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35BF">
        <w:rPr>
          <w:rFonts w:ascii="Arial" w:hAnsi="Arial" w:cs="Arial"/>
          <w:b/>
          <w:sz w:val="24"/>
          <w:szCs w:val="24"/>
        </w:rPr>
        <w:t>Table 1 – 2018/19 Delivery Programme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1985"/>
      </w:tblGrid>
      <w:tr w:rsidR="007B0EB5" w:rsidTr="00C234DB">
        <w:trPr>
          <w:trHeight w:val="1057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Service Area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Total delivery programme 2018/19 at </w:t>
            </w:r>
            <w:r w:rsidRPr="00D635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Agreed budget changes and reprofiling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delivery programme 2018/19 at Q</w:t>
            </w:r>
            <w:r w:rsidRPr="00D635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</w:tr>
      <w:tr w:rsidR="007B0EB5" w:rsidTr="00C234DB">
        <w:trPr>
          <w:trHeight w:val="273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£m</w:t>
            </w:r>
          </w:p>
        </w:tc>
      </w:tr>
      <w:tr w:rsidR="007B0EB5" w:rsidTr="00C234DB">
        <w:trPr>
          <w:trHeight w:val="2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C6210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Schools (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xcluding DFC)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22.827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</w:tabs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-0.7</w:t>
            </w: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</w:tabs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22.067</w:t>
            </w:r>
          </w:p>
        </w:tc>
      </w:tr>
      <w:tr w:rsidR="007B0EB5" w:rsidTr="00C234DB">
        <w:trPr>
          <w:trHeight w:val="2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Schools DFC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</w:tabs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</w:tabs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2.767</w:t>
            </w:r>
          </w:p>
        </w:tc>
      </w:tr>
      <w:tr w:rsidR="007B0EB5" w:rsidTr="00C234DB">
        <w:trPr>
          <w:trHeight w:val="2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Children and Young People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</w:tabs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</w:tabs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0.644</w:t>
            </w:r>
          </w:p>
        </w:tc>
      </w:tr>
      <w:tr w:rsidR="007B0EB5" w:rsidTr="00C234DB">
        <w:trPr>
          <w:trHeight w:val="2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Highways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45.484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</w:tabs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</w:tabs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8.342</w:t>
            </w:r>
          </w:p>
        </w:tc>
      </w:tr>
      <w:tr w:rsidR="007B0EB5" w:rsidTr="00C234DB">
        <w:trPr>
          <w:trHeight w:val="2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Transport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13.912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</w:tabs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-0.098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</w:tabs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13.817</w:t>
            </w:r>
          </w:p>
        </w:tc>
      </w:tr>
      <w:tr w:rsidR="007B0EB5" w:rsidTr="00C234DB">
        <w:trPr>
          <w:trHeight w:val="2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Externally Funded Schemes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</w:tabs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</w:tabs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1.938</w:t>
            </w:r>
          </w:p>
        </w:tc>
      </w:tr>
      <w:tr w:rsidR="007B0EB5" w:rsidTr="00C234DB">
        <w:trPr>
          <w:trHeight w:val="2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Waste and Other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</w:tabs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</w:tabs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0.677</w:t>
            </w:r>
          </w:p>
        </w:tc>
      </w:tr>
      <w:tr w:rsidR="007B0EB5" w:rsidTr="00C234DB">
        <w:trPr>
          <w:trHeight w:val="2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Adult Social Care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13.687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</w:tabs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</w:tabs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13.687</w:t>
            </w:r>
          </w:p>
        </w:tc>
      </w:tr>
      <w:tr w:rsidR="007B0EB5" w:rsidTr="00C234DB">
        <w:trPr>
          <w:trHeight w:val="2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Corporate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</w:tabs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2.745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</w:tabs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13.244</w:t>
            </w:r>
          </w:p>
        </w:tc>
      </w:tr>
      <w:tr w:rsidR="007B0EB5" w:rsidTr="00C234DB">
        <w:trPr>
          <w:trHeight w:val="2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Vehicles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</w:tabs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</w:tabs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3.720</w:t>
            </w:r>
          </w:p>
        </w:tc>
      </w:tr>
      <w:tr w:rsidR="007B0EB5" w:rsidTr="00C234DB">
        <w:trPr>
          <w:trHeight w:val="2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Grand 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114.817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</w:tabs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6.086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18" w:rsidRPr="00D635BF" w:rsidRDefault="006D0C0B" w:rsidP="00D635BF">
            <w:pPr>
              <w:tabs>
                <w:tab w:val="left" w:pos="567"/>
                <w:tab w:val="left" w:pos="1134"/>
              </w:tabs>
              <w:spacing w:after="0" w:line="240" w:lineRule="auto"/>
              <w:ind w:right="601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Pr="00D635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20.903</w:t>
            </w:r>
          </w:p>
        </w:tc>
      </w:tr>
    </w:tbl>
    <w:p w:rsidR="005734DD" w:rsidRPr="00D635BF" w:rsidRDefault="006D0C0B" w:rsidP="00D635BF">
      <w:pPr>
        <w:tabs>
          <w:tab w:val="left" w:pos="567"/>
          <w:tab w:val="left" w:pos="1134"/>
          <w:tab w:val="left" w:pos="1701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734DD" w:rsidRPr="00D635BF" w:rsidRDefault="006D0C0B" w:rsidP="00D661E6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="0" w:line="240" w:lineRule="auto"/>
        <w:ind w:left="709" w:hanging="720"/>
        <w:rPr>
          <w:rFonts w:ascii="Arial" w:hAnsi="Arial" w:cs="Arial"/>
          <w:b/>
          <w:sz w:val="24"/>
          <w:szCs w:val="24"/>
        </w:rPr>
      </w:pPr>
      <w:r w:rsidRPr="00D635BF">
        <w:rPr>
          <w:rFonts w:ascii="Arial" w:hAnsi="Arial" w:cs="Arial"/>
          <w:b/>
          <w:sz w:val="24"/>
          <w:szCs w:val="24"/>
        </w:rPr>
        <w:br w:type="page"/>
        <w:t>Variance Analysis</w:t>
      </w:r>
    </w:p>
    <w:p w:rsidR="00311C6D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17F3" w:rsidRDefault="006D0C0B" w:rsidP="00D661E6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>The f</w:t>
      </w:r>
      <w:r w:rsidRPr="00D635BF">
        <w:rPr>
          <w:rFonts w:ascii="Arial" w:hAnsi="Arial" w:cs="Arial"/>
          <w:sz w:val="24"/>
          <w:szCs w:val="24"/>
        </w:rPr>
        <w:t xml:space="preserve">orecast variance as at </w:t>
      </w:r>
      <w:r w:rsidRPr="00D635BF">
        <w:rPr>
          <w:rFonts w:ascii="Arial" w:hAnsi="Arial" w:cs="Arial"/>
          <w:sz w:val="24"/>
          <w:szCs w:val="24"/>
        </w:rPr>
        <w:t>December</w:t>
      </w:r>
      <w:r w:rsidRPr="00D635BF">
        <w:rPr>
          <w:rFonts w:ascii="Arial" w:hAnsi="Arial" w:cs="Arial"/>
          <w:sz w:val="24"/>
          <w:szCs w:val="24"/>
        </w:rPr>
        <w:t xml:space="preserve"> </w:t>
      </w:r>
      <w:r w:rsidRPr="00D635BF">
        <w:rPr>
          <w:rFonts w:ascii="Arial" w:hAnsi="Arial" w:cs="Arial"/>
          <w:sz w:val="24"/>
          <w:szCs w:val="24"/>
        </w:rPr>
        <w:t>20</w:t>
      </w:r>
      <w:r w:rsidRPr="00D635BF">
        <w:rPr>
          <w:rFonts w:ascii="Arial" w:hAnsi="Arial" w:cs="Arial"/>
          <w:sz w:val="24"/>
          <w:szCs w:val="24"/>
        </w:rPr>
        <w:t>18</w:t>
      </w:r>
      <w:r w:rsidRPr="00D635BF">
        <w:rPr>
          <w:rFonts w:ascii="Arial" w:hAnsi="Arial" w:cs="Arial"/>
          <w:sz w:val="24"/>
          <w:szCs w:val="24"/>
        </w:rPr>
        <w:t xml:space="preserve"> is £</w:t>
      </w:r>
      <w:r w:rsidRPr="00D635BF">
        <w:rPr>
          <w:rFonts w:ascii="Arial" w:hAnsi="Arial" w:cs="Arial"/>
          <w:sz w:val="24"/>
          <w:szCs w:val="24"/>
        </w:rPr>
        <w:t>1</w:t>
      </w:r>
      <w:r w:rsidRPr="00D635BF">
        <w:rPr>
          <w:rFonts w:ascii="Arial" w:hAnsi="Arial" w:cs="Arial"/>
          <w:sz w:val="24"/>
          <w:szCs w:val="24"/>
        </w:rPr>
        <w:t>0.127</w:t>
      </w:r>
      <w:r w:rsidRPr="00D635BF">
        <w:rPr>
          <w:rFonts w:ascii="Arial" w:hAnsi="Arial" w:cs="Arial"/>
          <w:sz w:val="24"/>
          <w:szCs w:val="24"/>
        </w:rPr>
        <w:t xml:space="preserve">m as detailed by service block in Table 2 below along with a split of the proportion of the variance resulting from both forecast net under or overspending on schemes and the net impact of early delivery </w:t>
      </w:r>
      <w:r w:rsidRPr="00D635BF">
        <w:rPr>
          <w:rFonts w:ascii="Arial" w:hAnsi="Arial" w:cs="Arial"/>
          <w:sz w:val="24"/>
          <w:szCs w:val="24"/>
        </w:rPr>
        <w:t xml:space="preserve">and slippage on schemes within the blocks.  </w:t>
      </w:r>
    </w:p>
    <w:p w:rsidR="00D661E6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D28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35BF">
        <w:rPr>
          <w:rFonts w:ascii="Arial" w:hAnsi="Arial" w:cs="Arial"/>
          <w:b/>
          <w:sz w:val="24"/>
          <w:szCs w:val="24"/>
        </w:rPr>
        <w:t>Table 2 – Forecast Outturn and Variance Analysis</w:t>
      </w:r>
      <w:r w:rsidRPr="00D635B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7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276"/>
        <w:gridCol w:w="1276"/>
        <w:gridCol w:w="1843"/>
        <w:gridCol w:w="1417"/>
      </w:tblGrid>
      <w:tr w:rsidR="007B0EB5" w:rsidTr="00D661E6">
        <w:trPr>
          <w:trHeight w:val="29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C6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Service Area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2018/19 Delivery Programme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11C6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Forecast Outturn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C6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Forecast Variance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:rsidR="00311C6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Forecast Variance due to</w:t>
            </w: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net</w:t>
            </w: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under or overspending on schemes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:rsidR="00311C6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Forecast Variance due to </w:t>
            </w: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net slippage / </w:t>
            </w: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early delivery</w:t>
            </w:r>
          </w:p>
        </w:tc>
      </w:tr>
      <w:tr w:rsidR="007B0EB5" w:rsidTr="00D661E6">
        <w:trPr>
          <w:trHeight w:val="32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6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C6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11C6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1C6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£m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11C6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11C6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</w:tr>
      <w:tr w:rsidR="007B0EB5" w:rsidTr="00D661E6">
        <w:trPr>
          <w:trHeight w:val="3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Schools (exc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</w:t>
            </w: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DFC)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22.067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20.000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-2.067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D" w:rsidRPr="00D635BF" w:rsidRDefault="006D0C0B" w:rsidP="00D661E6">
            <w:pPr>
              <w:tabs>
                <w:tab w:val="left" w:pos="567"/>
                <w:tab w:val="left" w:pos="1134"/>
              </w:tabs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-0.911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31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-1.156</w:t>
            </w:r>
          </w:p>
        </w:tc>
      </w:tr>
      <w:tr w:rsidR="007B0EB5" w:rsidTr="00D661E6">
        <w:trPr>
          <w:trHeight w:val="3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Schools DFC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2.767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2.767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0.000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C6D" w:rsidRPr="00D635BF" w:rsidRDefault="006D0C0B" w:rsidP="00D661E6">
            <w:pPr>
              <w:tabs>
                <w:tab w:val="left" w:pos="567"/>
                <w:tab w:val="left" w:pos="1134"/>
              </w:tabs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31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</w:tr>
      <w:tr w:rsidR="007B0EB5" w:rsidTr="00D661E6">
        <w:trPr>
          <w:trHeight w:val="3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Children and Young People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0.644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0.562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-0.083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D" w:rsidRPr="00D635BF" w:rsidRDefault="006D0C0B" w:rsidP="00D661E6">
            <w:pPr>
              <w:tabs>
                <w:tab w:val="left" w:pos="567"/>
                <w:tab w:val="left" w:pos="1134"/>
              </w:tabs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31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-0.082</w:t>
            </w:r>
          </w:p>
        </w:tc>
      </w:tr>
      <w:tr w:rsidR="007B0EB5" w:rsidTr="00D661E6">
        <w:trPr>
          <w:trHeight w:val="3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Highways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8.342</w:t>
            </w: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51.303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2.962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D" w:rsidRPr="00D635BF" w:rsidRDefault="006D0C0B" w:rsidP="00D661E6">
            <w:pPr>
              <w:tabs>
                <w:tab w:val="left" w:pos="567"/>
                <w:tab w:val="left" w:pos="1134"/>
              </w:tabs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31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2.917</w:t>
            </w:r>
          </w:p>
        </w:tc>
      </w:tr>
      <w:tr w:rsidR="007B0EB5" w:rsidTr="00D661E6">
        <w:trPr>
          <w:trHeight w:val="3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Transport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13.817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15.815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1.998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D" w:rsidRPr="00D635BF" w:rsidRDefault="006D0C0B" w:rsidP="00D661E6">
            <w:pPr>
              <w:tabs>
                <w:tab w:val="left" w:pos="567"/>
                <w:tab w:val="left" w:pos="1134"/>
              </w:tabs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31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2.188</w:t>
            </w:r>
          </w:p>
        </w:tc>
      </w:tr>
      <w:tr w:rsidR="007B0EB5" w:rsidTr="00D661E6">
        <w:trPr>
          <w:trHeight w:val="3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Externally Funded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1.938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1.974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0.036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D" w:rsidRPr="00D635BF" w:rsidRDefault="006D0C0B" w:rsidP="00D661E6">
            <w:pPr>
              <w:tabs>
                <w:tab w:val="left" w:pos="567"/>
                <w:tab w:val="left" w:pos="1134"/>
              </w:tabs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31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</w:tr>
      <w:tr w:rsidR="007B0EB5" w:rsidTr="00D661E6">
        <w:trPr>
          <w:trHeight w:val="3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Waste and Other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0.677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1.619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0.942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D" w:rsidRPr="00D635BF" w:rsidRDefault="006D0C0B" w:rsidP="00D661E6">
            <w:pPr>
              <w:tabs>
                <w:tab w:val="left" w:pos="567"/>
                <w:tab w:val="left" w:pos="1134"/>
              </w:tabs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31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0.942</w:t>
            </w:r>
          </w:p>
        </w:tc>
      </w:tr>
      <w:tr w:rsidR="007B0EB5" w:rsidTr="00D661E6">
        <w:trPr>
          <w:trHeight w:val="3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Adults Social Care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13.687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13.817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0.130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D" w:rsidRPr="00D635BF" w:rsidRDefault="006D0C0B" w:rsidP="00D661E6">
            <w:pPr>
              <w:tabs>
                <w:tab w:val="left" w:pos="567"/>
                <w:tab w:val="left" w:pos="1134"/>
              </w:tabs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31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0.130</w:t>
            </w:r>
          </w:p>
        </w:tc>
      </w:tr>
      <w:tr w:rsidR="007B0EB5" w:rsidTr="00D661E6">
        <w:trPr>
          <w:trHeight w:val="3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Corporate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13.244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19.153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5.909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D" w:rsidRPr="00D635BF" w:rsidRDefault="006D0C0B" w:rsidP="00D661E6">
            <w:pPr>
              <w:tabs>
                <w:tab w:val="left" w:pos="567"/>
                <w:tab w:val="left" w:pos="1134"/>
              </w:tabs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31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5.329</w:t>
            </w:r>
          </w:p>
        </w:tc>
      </w:tr>
      <w:tr w:rsidR="007B0EB5" w:rsidTr="00D661E6">
        <w:trPr>
          <w:trHeight w:val="3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Vehicles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3.720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4.020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0.300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D" w:rsidRPr="00D635BF" w:rsidRDefault="006D0C0B" w:rsidP="00D661E6">
            <w:pPr>
              <w:tabs>
                <w:tab w:val="left" w:pos="567"/>
                <w:tab w:val="left" w:pos="1134"/>
              </w:tabs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31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0.300</w:t>
            </w:r>
          </w:p>
        </w:tc>
      </w:tr>
      <w:tr w:rsidR="007B0EB5" w:rsidTr="00D661E6">
        <w:trPr>
          <w:trHeight w:val="22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6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20.903</w:t>
            </w: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131.030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27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D" w:rsidRPr="00D635BF" w:rsidRDefault="006D0C0B" w:rsidP="00D661E6">
            <w:pPr>
              <w:tabs>
                <w:tab w:val="left" w:pos="567"/>
                <w:tab w:val="left" w:pos="1134"/>
              </w:tabs>
              <w:spacing w:after="0" w:line="240" w:lineRule="auto"/>
              <w:ind w:right="45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-0.441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D" w:rsidRPr="00D635BF" w:rsidRDefault="006D0C0B" w:rsidP="00D661E6">
            <w:pPr>
              <w:tabs>
                <w:tab w:val="left" w:pos="567"/>
                <w:tab w:val="left" w:pos="1701"/>
              </w:tabs>
              <w:spacing w:after="0" w:line="240" w:lineRule="auto"/>
              <w:ind w:right="31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10.568</w:t>
            </w:r>
          </w:p>
        </w:tc>
      </w:tr>
    </w:tbl>
    <w:p w:rsidR="00C66459" w:rsidRPr="00D635BF" w:rsidRDefault="006D0C0B" w:rsidP="00D635BF">
      <w:pPr>
        <w:tabs>
          <w:tab w:val="left" w:pos="567"/>
          <w:tab w:val="left" w:pos="1134"/>
          <w:tab w:val="left" w:pos="1701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05038" w:rsidRPr="00D635BF" w:rsidRDefault="006D0C0B" w:rsidP="00D635BF">
      <w:pPr>
        <w:tabs>
          <w:tab w:val="left" w:pos="567"/>
          <w:tab w:val="left" w:pos="1134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>Of the forecast £1</w:t>
      </w:r>
      <w:r w:rsidRPr="00D635BF">
        <w:rPr>
          <w:rFonts w:ascii="Arial" w:hAnsi="Arial" w:cs="Arial"/>
          <w:sz w:val="24"/>
          <w:szCs w:val="24"/>
        </w:rPr>
        <w:t>31.030</w:t>
      </w:r>
      <w:r w:rsidRPr="00D635BF">
        <w:rPr>
          <w:rFonts w:ascii="Arial" w:hAnsi="Arial" w:cs="Arial"/>
          <w:sz w:val="24"/>
          <w:szCs w:val="24"/>
        </w:rPr>
        <w:t xml:space="preserve">m spend, it is </w:t>
      </w:r>
      <w:r w:rsidRPr="00D635BF">
        <w:rPr>
          <w:rFonts w:ascii="Arial" w:hAnsi="Arial" w:cs="Arial"/>
          <w:sz w:val="24"/>
          <w:szCs w:val="24"/>
        </w:rPr>
        <w:t xml:space="preserve">estimated </w:t>
      </w:r>
      <w:r w:rsidRPr="00D635BF">
        <w:rPr>
          <w:rFonts w:ascii="Arial" w:hAnsi="Arial" w:cs="Arial"/>
          <w:sz w:val="24"/>
          <w:szCs w:val="24"/>
        </w:rPr>
        <w:t>that £</w:t>
      </w:r>
      <w:r w:rsidRPr="00D635BF">
        <w:rPr>
          <w:rFonts w:ascii="Arial" w:hAnsi="Arial" w:cs="Arial"/>
          <w:sz w:val="24"/>
          <w:szCs w:val="24"/>
        </w:rPr>
        <w:t>39.308</w:t>
      </w:r>
      <w:r w:rsidRPr="00D635BF">
        <w:rPr>
          <w:rFonts w:ascii="Arial" w:hAnsi="Arial" w:cs="Arial"/>
          <w:sz w:val="24"/>
          <w:szCs w:val="24"/>
        </w:rPr>
        <w:t>m will be funded by Borrowing, £</w:t>
      </w:r>
      <w:r w:rsidRPr="00D635BF">
        <w:rPr>
          <w:rFonts w:ascii="Arial" w:hAnsi="Arial" w:cs="Arial"/>
          <w:sz w:val="24"/>
          <w:szCs w:val="24"/>
        </w:rPr>
        <w:t>85.312</w:t>
      </w:r>
      <w:r w:rsidRPr="00D635BF">
        <w:rPr>
          <w:rFonts w:ascii="Arial" w:hAnsi="Arial" w:cs="Arial"/>
          <w:sz w:val="24"/>
          <w:szCs w:val="24"/>
        </w:rPr>
        <w:t>m will be funded by Grants and £</w:t>
      </w:r>
      <w:r w:rsidRPr="00D635BF">
        <w:rPr>
          <w:rFonts w:ascii="Arial" w:hAnsi="Arial" w:cs="Arial"/>
          <w:sz w:val="24"/>
          <w:szCs w:val="24"/>
        </w:rPr>
        <w:t>6.410</w:t>
      </w:r>
      <w:r w:rsidRPr="00D635BF">
        <w:rPr>
          <w:rFonts w:ascii="Arial" w:hAnsi="Arial" w:cs="Arial"/>
          <w:sz w:val="24"/>
          <w:szCs w:val="24"/>
        </w:rPr>
        <w:t xml:space="preserve">m will be funded by Developer and other 3rd Party Contributions. </w:t>
      </w:r>
    </w:p>
    <w:p w:rsidR="00705038" w:rsidRDefault="006D0C0B" w:rsidP="00C234DB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D635BF"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tab/>
      </w:r>
      <w:r w:rsidRPr="00D635BF">
        <w:rPr>
          <w:rFonts w:ascii="Arial" w:hAnsi="Arial" w:cs="Arial"/>
          <w:b/>
          <w:sz w:val="24"/>
          <w:szCs w:val="24"/>
        </w:rPr>
        <w:t>Narrative on Variances</w:t>
      </w:r>
    </w:p>
    <w:p w:rsidR="00C234DB" w:rsidRPr="00C234DB" w:rsidRDefault="006D0C0B" w:rsidP="00C234DB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A046BF" w:rsidRDefault="006D0C0B" w:rsidP="00C234DB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  <w:r w:rsidRPr="00D635BF">
        <w:rPr>
          <w:rFonts w:ascii="Arial" w:hAnsi="Arial" w:cs="Arial"/>
          <w:b/>
          <w:sz w:val="24"/>
          <w:szCs w:val="24"/>
        </w:rPr>
        <w:t>Schools</w:t>
      </w:r>
      <w:r w:rsidRPr="00D635BF">
        <w:rPr>
          <w:rFonts w:ascii="Arial" w:hAnsi="Arial" w:cs="Arial"/>
          <w:b/>
          <w:sz w:val="24"/>
          <w:szCs w:val="24"/>
        </w:rPr>
        <w:t xml:space="preserve"> </w:t>
      </w:r>
    </w:p>
    <w:p w:rsidR="00D661E6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8033C4" w:rsidRDefault="006D0C0B" w:rsidP="00D661E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>The S</w:t>
      </w:r>
      <w:r w:rsidRPr="00D635BF">
        <w:rPr>
          <w:rFonts w:ascii="Arial" w:hAnsi="Arial" w:cs="Arial"/>
          <w:sz w:val="24"/>
          <w:szCs w:val="24"/>
        </w:rPr>
        <w:t>chools capital delivery programme</w:t>
      </w:r>
      <w:r w:rsidRPr="00D635BF">
        <w:rPr>
          <w:rFonts w:ascii="Arial" w:hAnsi="Arial" w:cs="Arial"/>
          <w:sz w:val="24"/>
          <w:szCs w:val="24"/>
        </w:rPr>
        <w:t xml:space="preserve"> for 2018/19 is £24.834m</w:t>
      </w:r>
      <w:r w:rsidRPr="00D635BF">
        <w:rPr>
          <w:rFonts w:ascii="Arial" w:hAnsi="Arial" w:cs="Arial"/>
          <w:sz w:val="24"/>
          <w:szCs w:val="24"/>
        </w:rPr>
        <w:t xml:space="preserve"> with forecast outturn of £22.767m, a variance of £2.067m resulting from net underspending on projects in their final stages including</w:t>
      </w:r>
      <w:r w:rsidRPr="00D635BF">
        <w:rPr>
          <w:rFonts w:ascii="Arial" w:hAnsi="Arial" w:cs="Arial"/>
          <w:sz w:val="24"/>
          <w:szCs w:val="24"/>
        </w:rPr>
        <w:t>,</w:t>
      </w:r>
      <w:r w:rsidRPr="00D635BF">
        <w:rPr>
          <w:rFonts w:ascii="Arial" w:hAnsi="Arial" w:cs="Arial"/>
          <w:sz w:val="24"/>
          <w:szCs w:val="24"/>
        </w:rPr>
        <w:t xml:space="preserve"> </w:t>
      </w:r>
      <w:r w:rsidRPr="00D635BF">
        <w:rPr>
          <w:rFonts w:ascii="Arial" w:hAnsi="Arial" w:cs="Arial"/>
          <w:sz w:val="24"/>
          <w:szCs w:val="24"/>
        </w:rPr>
        <w:t xml:space="preserve">most significantly </w:t>
      </w:r>
      <w:r w:rsidRPr="00D635BF">
        <w:rPr>
          <w:rFonts w:ascii="Arial" w:hAnsi="Arial" w:cs="Arial"/>
          <w:sz w:val="24"/>
          <w:szCs w:val="24"/>
        </w:rPr>
        <w:t>Holy Cross</w:t>
      </w:r>
      <w:r w:rsidRPr="00D635BF">
        <w:rPr>
          <w:rFonts w:ascii="Arial" w:hAnsi="Arial" w:cs="Arial"/>
          <w:sz w:val="24"/>
          <w:szCs w:val="24"/>
        </w:rPr>
        <w:t xml:space="preserve"> (£0.681m underspend) and St. George's (£0.159m underspend)</w:t>
      </w:r>
      <w:r>
        <w:rPr>
          <w:rFonts w:ascii="Arial" w:hAnsi="Arial" w:cs="Arial"/>
          <w:sz w:val="24"/>
          <w:szCs w:val="24"/>
        </w:rPr>
        <w:t xml:space="preserve">.  There is also </w:t>
      </w:r>
      <w:r w:rsidRPr="00D635BF">
        <w:rPr>
          <w:rFonts w:ascii="Arial" w:hAnsi="Arial" w:cs="Arial"/>
          <w:sz w:val="24"/>
          <w:szCs w:val="24"/>
        </w:rPr>
        <w:t xml:space="preserve">net slippage on schemes of £1.156m, most significantly covering Whalley CE Primary School (£0.427m </w:t>
      </w:r>
      <w:r w:rsidRPr="00D635BF">
        <w:rPr>
          <w:rFonts w:ascii="Arial" w:hAnsi="Arial" w:cs="Arial"/>
          <w:sz w:val="24"/>
          <w:szCs w:val="24"/>
        </w:rPr>
        <w:t xml:space="preserve">slippage </w:t>
      </w:r>
      <w:r w:rsidRPr="00D635BF">
        <w:rPr>
          <w:rFonts w:ascii="Arial" w:hAnsi="Arial" w:cs="Arial"/>
          <w:sz w:val="24"/>
          <w:szCs w:val="24"/>
        </w:rPr>
        <w:t>due to undertakin</w:t>
      </w:r>
      <w:r w:rsidRPr="00D635BF">
        <w:rPr>
          <w:rFonts w:ascii="Arial" w:hAnsi="Arial" w:cs="Arial"/>
          <w:sz w:val="24"/>
          <w:szCs w:val="24"/>
        </w:rPr>
        <w:t>g</w:t>
      </w:r>
      <w:r w:rsidRPr="00D635BF">
        <w:rPr>
          <w:rFonts w:ascii="Arial" w:hAnsi="Arial" w:cs="Arial"/>
          <w:sz w:val="24"/>
          <w:szCs w:val="24"/>
        </w:rPr>
        <w:t xml:space="preserve"> value </w:t>
      </w:r>
      <w:r w:rsidRPr="00D635BF">
        <w:rPr>
          <w:rFonts w:ascii="Arial" w:hAnsi="Arial" w:cs="Arial"/>
          <w:sz w:val="24"/>
          <w:szCs w:val="24"/>
        </w:rPr>
        <w:t>engineering work in response to budget pressures)</w:t>
      </w:r>
      <w:r>
        <w:rPr>
          <w:rFonts w:ascii="Arial" w:hAnsi="Arial" w:cs="Arial"/>
          <w:sz w:val="24"/>
          <w:szCs w:val="24"/>
        </w:rPr>
        <w:t xml:space="preserve"> </w:t>
      </w:r>
      <w:r w:rsidRPr="00D635BF">
        <w:rPr>
          <w:rFonts w:ascii="Arial" w:hAnsi="Arial" w:cs="Arial"/>
          <w:sz w:val="24"/>
          <w:szCs w:val="24"/>
        </w:rPr>
        <w:t xml:space="preserve">and Langho St Marys (0.480m </w:t>
      </w:r>
      <w:r>
        <w:rPr>
          <w:rFonts w:ascii="Arial" w:hAnsi="Arial" w:cs="Arial"/>
          <w:sz w:val="24"/>
          <w:szCs w:val="24"/>
        </w:rPr>
        <w:t>slippage due to redesign work).</w:t>
      </w:r>
    </w:p>
    <w:p w:rsidR="00D661E6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0033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  <w:r w:rsidRPr="00D635BF">
        <w:rPr>
          <w:rFonts w:ascii="Arial" w:hAnsi="Arial" w:cs="Arial"/>
          <w:b/>
          <w:sz w:val="24"/>
          <w:szCs w:val="24"/>
        </w:rPr>
        <w:t>Children and</w:t>
      </w:r>
      <w:r w:rsidRPr="00D635BF">
        <w:rPr>
          <w:rFonts w:ascii="Arial" w:hAnsi="Arial" w:cs="Arial"/>
          <w:b/>
          <w:sz w:val="24"/>
          <w:szCs w:val="24"/>
        </w:rPr>
        <w:t xml:space="preserve"> Young People</w:t>
      </w:r>
    </w:p>
    <w:p w:rsidR="00D661E6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F04CE7" w:rsidRDefault="006D0C0B" w:rsidP="00D661E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>T</w:t>
      </w:r>
      <w:r w:rsidRPr="00D635BF">
        <w:rPr>
          <w:rFonts w:ascii="Arial" w:hAnsi="Arial" w:cs="Arial"/>
          <w:sz w:val="24"/>
          <w:szCs w:val="24"/>
        </w:rPr>
        <w:t>he C</w:t>
      </w:r>
      <w:r w:rsidRPr="00D635BF">
        <w:rPr>
          <w:rFonts w:ascii="Arial" w:hAnsi="Arial" w:cs="Arial"/>
          <w:sz w:val="24"/>
          <w:szCs w:val="24"/>
        </w:rPr>
        <w:t xml:space="preserve">hildren and Young People </w:t>
      </w:r>
      <w:r w:rsidRPr="00D635BF">
        <w:rPr>
          <w:rFonts w:ascii="Arial" w:hAnsi="Arial" w:cs="Arial"/>
          <w:sz w:val="24"/>
          <w:szCs w:val="24"/>
        </w:rPr>
        <w:t xml:space="preserve">capital delivery programme </w:t>
      </w:r>
      <w:r w:rsidRPr="00D635BF">
        <w:rPr>
          <w:rFonts w:ascii="Arial" w:hAnsi="Arial" w:cs="Arial"/>
          <w:sz w:val="24"/>
          <w:szCs w:val="24"/>
        </w:rPr>
        <w:t>for 2018/19 i</w:t>
      </w:r>
      <w:r w:rsidRPr="00D635BF">
        <w:rPr>
          <w:rFonts w:ascii="Arial" w:hAnsi="Arial" w:cs="Arial"/>
          <w:sz w:val="24"/>
          <w:szCs w:val="24"/>
        </w:rPr>
        <w:t>s £0.644m</w:t>
      </w:r>
      <w:r w:rsidRPr="00D635BF">
        <w:rPr>
          <w:rFonts w:ascii="Arial" w:hAnsi="Arial" w:cs="Arial"/>
          <w:sz w:val="24"/>
          <w:szCs w:val="24"/>
        </w:rPr>
        <w:t xml:space="preserve"> with </w:t>
      </w:r>
      <w:r w:rsidRPr="00D635BF">
        <w:rPr>
          <w:rFonts w:ascii="Arial" w:hAnsi="Arial" w:cs="Arial"/>
          <w:sz w:val="24"/>
          <w:szCs w:val="24"/>
        </w:rPr>
        <w:t>f</w:t>
      </w:r>
      <w:r w:rsidRPr="00D635BF">
        <w:rPr>
          <w:rFonts w:ascii="Arial" w:hAnsi="Arial" w:cs="Arial"/>
          <w:sz w:val="24"/>
          <w:szCs w:val="24"/>
        </w:rPr>
        <w:t xml:space="preserve">orecast outturn of £0.562m, a variance of £0.083m resulting primarily from slippage on </w:t>
      </w:r>
      <w:r w:rsidRPr="00D635BF">
        <w:rPr>
          <w:rFonts w:ascii="Arial" w:hAnsi="Arial" w:cs="Arial"/>
          <w:sz w:val="24"/>
          <w:szCs w:val="24"/>
        </w:rPr>
        <w:t xml:space="preserve">the </w:t>
      </w:r>
      <w:r w:rsidRPr="00D635BF">
        <w:rPr>
          <w:rFonts w:ascii="Arial" w:hAnsi="Arial" w:cs="Arial"/>
          <w:sz w:val="24"/>
          <w:szCs w:val="24"/>
        </w:rPr>
        <w:t xml:space="preserve">Residential Redesign </w:t>
      </w:r>
      <w:r w:rsidRPr="00D635BF">
        <w:rPr>
          <w:rFonts w:ascii="Arial" w:hAnsi="Arial" w:cs="Arial"/>
          <w:sz w:val="24"/>
          <w:szCs w:val="24"/>
        </w:rPr>
        <w:t>programme w</w:t>
      </w:r>
      <w:r w:rsidRPr="00D635BF">
        <w:rPr>
          <w:rFonts w:ascii="Arial" w:hAnsi="Arial" w:cs="Arial"/>
          <w:sz w:val="24"/>
          <w:szCs w:val="24"/>
        </w:rPr>
        <w:t xml:space="preserve">ith some of the </w:t>
      </w:r>
      <w:r w:rsidRPr="00D635BF">
        <w:rPr>
          <w:rFonts w:ascii="Arial" w:hAnsi="Arial" w:cs="Arial"/>
          <w:sz w:val="24"/>
          <w:szCs w:val="24"/>
        </w:rPr>
        <w:t>budget</w:t>
      </w:r>
      <w:r w:rsidRPr="00D635BF">
        <w:rPr>
          <w:rFonts w:ascii="Arial" w:hAnsi="Arial" w:cs="Arial"/>
          <w:sz w:val="24"/>
          <w:szCs w:val="24"/>
        </w:rPr>
        <w:t xml:space="preserve"> </w:t>
      </w:r>
      <w:r w:rsidRPr="00D635BF">
        <w:rPr>
          <w:rFonts w:ascii="Arial" w:hAnsi="Arial" w:cs="Arial"/>
          <w:sz w:val="24"/>
          <w:szCs w:val="24"/>
        </w:rPr>
        <w:t xml:space="preserve">not </w:t>
      </w:r>
      <w:r w:rsidRPr="00D635BF">
        <w:rPr>
          <w:rFonts w:ascii="Arial" w:hAnsi="Arial" w:cs="Arial"/>
          <w:sz w:val="24"/>
          <w:szCs w:val="24"/>
        </w:rPr>
        <w:t xml:space="preserve">yet </w:t>
      </w:r>
      <w:r w:rsidRPr="00D635BF">
        <w:rPr>
          <w:rFonts w:ascii="Arial" w:hAnsi="Arial" w:cs="Arial"/>
          <w:sz w:val="24"/>
          <w:szCs w:val="24"/>
        </w:rPr>
        <w:t>allocated</w:t>
      </w:r>
      <w:r w:rsidRPr="00D635BF">
        <w:rPr>
          <w:rFonts w:ascii="Arial" w:hAnsi="Arial" w:cs="Arial"/>
          <w:sz w:val="24"/>
          <w:szCs w:val="24"/>
        </w:rPr>
        <w:t xml:space="preserve"> to a specific scheme</w:t>
      </w:r>
      <w:r w:rsidRPr="00D635BF">
        <w:rPr>
          <w:rFonts w:ascii="Arial" w:hAnsi="Arial" w:cs="Arial"/>
          <w:sz w:val="24"/>
          <w:szCs w:val="24"/>
        </w:rPr>
        <w:t>.</w:t>
      </w:r>
    </w:p>
    <w:p w:rsidR="00D661E6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26E4E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  <w:r w:rsidRPr="00D635BF">
        <w:rPr>
          <w:rFonts w:ascii="Arial" w:hAnsi="Arial" w:cs="Arial"/>
          <w:b/>
          <w:sz w:val="24"/>
          <w:szCs w:val="24"/>
        </w:rPr>
        <w:t>Highways</w:t>
      </w:r>
    </w:p>
    <w:p w:rsidR="00D661E6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sz w:val="24"/>
          <w:szCs w:val="24"/>
        </w:rPr>
      </w:pPr>
    </w:p>
    <w:p w:rsidR="00926E4E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>The Highways capital delivery programme for 2018/19 is £4</w:t>
      </w:r>
      <w:r w:rsidRPr="00D635BF">
        <w:rPr>
          <w:rFonts w:ascii="Arial" w:hAnsi="Arial" w:cs="Arial"/>
          <w:sz w:val="24"/>
          <w:szCs w:val="24"/>
        </w:rPr>
        <w:t>8.342</w:t>
      </w:r>
      <w:r w:rsidRPr="00D635BF">
        <w:rPr>
          <w:rFonts w:ascii="Arial" w:hAnsi="Arial" w:cs="Arial"/>
          <w:sz w:val="24"/>
          <w:szCs w:val="24"/>
        </w:rPr>
        <w:t>m</w:t>
      </w:r>
      <w:r w:rsidRPr="00D635BF">
        <w:rPr>
          <w:rFonts w:ascii="Arial" w:hAnsi="Arial" w:cs="Arial"/>
          <w:sz w:val="24"/>
          <w:szCs w:val="24"/>
        </w:rPr>
        <w:t xml:space="preserve"> with forecast outturn of £51.303m, a variance of £2.962m</w:t>
      </w:r>
      <w:r w:rsidRPr="00D635BF">
        <w:rPr>
          <w:rFonts w:ascii="Arial" w:hAnsi="Arial" w:cs="Arial"/>
          <w:sz w:val="24"/>
          <w:szCs w:val="24"/>
        </w:rPr>
        <w:t xml:space="preserve">. </w:t>
      </w:r>
      <w:r w:rsidRPr="00D635BF">
        <w:rPr>
          <w:rFonts w:ascii="Arial" w:hAnsi="Arial" w:cs="Arial"/>
          <w:sz w:val="24"/>
          <w:szCs w:val="24"/>
        </w:rPr>
        <w:t xml:space="preserve"> The variance is primarily the result of earlier than profiled delivery across a number of </w:t>
      </w:r>
      <w:r w:rsidRPr="00D635BF">
        <w:rPr>
          <w:rFonts w:ascii="Arial" w:hAnsi="Arial" w:cs="Arial"/>
          <w:sz w:val="24"/>
          <w:szCs w:val="24"/>
        </w:rPr>
        <w:t xml:space="preserve">schemes including, most significantly, Inlay schemes (£0.709m), Street Lighting (£0.768m), Drainage (£0.550m), Footways £0.737m and small levels of early delivery </w:t>
      </w:r>
      <w:r w:rsidRPr="00D635BF">
        <w:rPr>
          <w:rFonts w:ascii="Arial" w:hAnsi="Arial" w:cs="Arial"/>
          <w:sz w:val="24"/>
          <w:szCs w:val="24"/>
        </w:rPr>
        <w:t xml:space="preserve">across a number of other </w:t>
      </w:r>
      <w:r w:rsidRPr="00D635BF">
        <w:rPr>
          <w:rFonts w:ascii="Arial" w:hAnsi="Arial" w:cs="Arial"/>
          <w:sz w:val="24"/>
          <w:szCs w:val="24"/>
        </w:rPr>
        <w:t xml:space="preserve">schemes. </w:t>
      </w:r>
    </w:p>
    <w:p w:rsidR="008F0F7B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sz w:val="24"/>
          <w:szCs w:val="24"/>
        </w:rPr>
      </w:pPr>
    </w:p>
    <w:p w:rsidR="00C327F5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  <w:r w:rsidRPr="00D635BF">
        <w:rPr>
          <w:rFonts w:ascii="Arial" w:hAnsi="Arial" w:cs="Arial"/>
          <w:b/>
          <w:sz w:val="24"/>
          <w:szCs w:val="24"/>
        </w:rPr>
        <w:t>Transport</w:t>
      </w:r>
    </w:p>
    <w:p w:rsidR="00D661E6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085424" w:rsidRDefault="006D0C0B" w:rsidP="00D661E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 xml:space="preserve">The Transport capital delivery programme </w:t>
      </w:r>
      <w:r w:rsidRPr="00D635BF">
        <w:rPr>
          <w:rFonts w:ascii="Arial" w:hAnsi="Arial" w:cs="Arial"/>
          <w:sz w:val="24"/>
          <w:szCs w:val="24"/>
        </w:rPr>
        <w:t>f</w:t>
      </w:r>
      <w:r w:rsidRPr="00D635BF">
        <w:rPr>
          <w:rFonts w:ascii="Arial" w:hAnsi="Arial" w:cs="Arial"/>
          <w:sz w:val="24"/>
          <w:szCs w:val="24"/>
        </w:rPr>
        <w:t xml:space="preserve">or </w:t>
      </w:r>
      <w:r w:rsidRPr="00D635BF">
        <w:rPr>
          <w:rFonts w:ascii="Arial" w:hAnsi="Arial" w:cs="Arial"/>
          <w:sz w:val="24"/>
          <w:szCs w:val="24"/>
        </w:rPr>
        <w:t>2018/19 is £13.817m</w:t>
      </w:r>
      <w:r w:rsidRPr="00D635BF">
        <w:rPr>
          <w:rFonts w:ascii="Arial" w:hAnsi="Arial" w:cs="Arial"/>
          <w:sz w:val="24"/>
          <w:szCs w:val="24"/>
        </w:rPr>
        <w:t xml:space="preserve"> with forecast outturn of £15.815m, a variance of £1.998m</w:t>
      </w:r>
      <w:r w:rsidRPr="00D635BF">
        <w:rPr>
          <w:rFonts w:ascii="Arial" w:hAnsi="Arial" w:cs="Arial"/>
          <w:sz w:val="24"/>
          <w:szCs w:val="24"/>
        </w:rPr>
        <w:t xml:space="preserve">. </w:t>
      </w:r>
      <w:r w:rsidRPr="00D635BF">
        <w:rPr>
          <w:rFonts w:ascii="Arial" w:hAnsi="Arial" w:cs="Arial"/>
          <w:sz w:val="24"/>
          <w:szCs w:val="24"/>
        </w:rPr>
        <w:t xml:space="preserve"> The variance is a combination of net underspends totalling £0.190m on schemes in their final stages and net earlier than profiled delivery of £2.188m.  The underspend</w:t>
      </w:r>
      <w:r w:rsidRPr="00D635BF">
        <w:rPr>
          <w:rFonts w:ascii="Arial" w:hAnsi="Arial" w:cs="Arial"/>
          <w:sz w:val="24"/>
          <w:szCs w:val="24"/>
        </w:rPr>
        <w:t>s</w:t>
      </w:r>
      <w:r w:rsidRPr="00D635BF">
        <w:rPr>
          <w:rFonts w:ascii="Arial" w:hAnsi="Arial" w:cs="Arial"/>
          <w:sz w:val="24"/>
          <w:szCs w:val="24"/>
        </w:rPr>
        <w:t xml:space="preserve"> primarily</w:t>
      </w:r>
      <w:r w:rsidRPr="00D635BF">
        <w:rPr>
          <w:rFonts w:ascii="Arial" w:hAnsi="Arial" w:cs="Arial"/>
          <w:sz w:val="24"/>
          <w:szCs w:val="24"/>
        </w:rPr>
        <w:t xml:space="preserve"> </w:t>
      </w:r>
      <w:r w:rsidRPr="00D635BF">
        <w:rPr>
          <w:rFonts w:ascii="Arial" w:hAnsi="Arial" w:cs="Arial"/>
          <w:sz w:val="24"/>
          <w:szCs w:val="24"/>
        </w:rPr>
        <w:t xml:space="preserve">relate to the </w:t>
      </w:r>
      <w:r w:rsidRPr="00D635BF">
        <w:rPr>
          <w:rFonts w:ascii="Arial" w:hAnsi="Arial" w:cs="Arial"/>
          <w:sz w:val="24"/>
          <w:szCs w:val="24"/>
        </w:rPr>
        <w:t xml:space="preserve">Skelmersdale rail link clearance of the Glenburn site (£0.106m) and </w:t>
      </w:r>
      <w:r w:rsidRPr="00D635BF">
        <w:rPr>
          <w:rFonts w:ascii="Arial" w:hAnsi="Arial" w:cs="Arial"/>
          <w:sz w:val="24"/>
          <w:szCs w:val="24"/>
        </w:rPr>
        <w:t xml:space="preserve">small underspends on </w:t>
      </w:r>
      <w:r w:rsidRPr="00D635BF">
        <w:rPr>
          <w:rFonts w:ascii="Arial" w:hAnsi="Arial" w:cs="Arial"/>
          <w:sz w:val="24"/>
          <w:szCs w:val="24"/>
        </w:rPr>
        <w:t xml:space="preserve">a number of road safety schemes. </w:t>
      </w:r>
    </w:p>
    <w:p w:rsidR="00D661E6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661E6" w:rsidRDefault="006D0C0B" w:rsidP="00D661E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>The net earlier than profiled delivery of £2.188m primarily covers forecast expenditure of £1.096m on the Burnley Pen</w:t>
      </w:r>
      <w:r w:rsidRPr="00D635BF">
        <w:rPr>
          <w:rFonts w:ascii="Arial" w:hAnsi="Arial" w:cs="Arial"/>
          <w:sz w:val="24"/>
          <w:szCs w:val="24"/>
        </w:rPr>
        <w:t>dle Growth Corridor, £1.255m on Townscape Heritage Initiative programmes, £0.983m on The East Lancashire Cycle network programme with some offsetting slippage in relation to the NPIF programme, S</w:t>
      </w:r>
      <w:r w:rsidRPr="00D635BF">
        <w:rPr>
          <w:rFonts w:ascii="Arial" w:hAnsi="Arial" w:cs="Arial"/>
          <w:sz w:val="24"/>
          <w:szCs w:val="24"/>
        </w:rPr>
        <w:t>kelmersdale Rail link</w:t>
      </w:r>
      <w:r w:rsidRPr="00D635BF">
        <w:rPr>
          <w:rFonts w:ascii="Arial" w:hAnsi="Arial" w:cs="Arial"/>
          <w:sz w:val="24"/>
          <w:szCs w:val="24"/>
        </w:rPr>
        <w:t xml:space="preserve"> and on Roa</w:t>
      </w:r>
      <w:r w:rsidRPr="00D635BF">
        <w:rPr>
          <w:rFonts w:ascii="Arial" w:hAnsi="Arial" w:cs="Arial"/>
          <w:sz w:val="24"/>
          <w:szCs w:val="24"/>
        </w:rPr>
        <w:t>d</w:t>
      </w:r>
      <w:r w:rsidRPr="00D635BF">
        <w:rPr>
          <w:rFonts w:ascii="Arial" w:hAnsi="Arial" w:cs="Arial"/>
          <w:sz w:val="24"/>
          <w:szCs w:val="24"/>
        </w:rPr>
        <w:t xml:space="preserve"> Safety projects</w:t>
      </w:r>
      <w:r w:rsidRPr="00D635BF">
        <w:rPr>
          <w:rFonts w:ascii="Arial" w:hAnsi="Arial" w:cs="Arial"/>
          <w:sz w:val="24"/>
          <w:szCs w:val="24"/>
        </w:rPr>
        <w:t xml:space="preserve">. </w:t>
      </w:r>
    </w:p>
    <w:p w:rsidR="000E1531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E1531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  <w:r w:rsidRPr="00D635BF">
        <w:rPr>
          <w:rFonts w:ascii="Arial" w:hAnsi="Arial" w:cs="Arial"/>
          <w:b/>
          <w:sz w:val="24"/>
          <w:szCs w:val="24"/>
        </w:rPr>
        <w:t xml:space="preserve">Waste </w:t>
      </w:r>
      <w:r w:rsidRPr="00D635BF">
        <w:rPr>
          <w:rFonts w:ascii="Arial" w:hAnsi="Arial" w:cs="Arial"/>
          <w:b/>
          <w:sz w:val="24"/>
          <w:szCs w:val="24"/>
        </w:rPr>
        <w:t>and Other</w:t>
      </w:r>
    </w:p>
    <w:p w:rsidR="00D661E6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153C09" w:rsidRPr="00D635BF" w:rsidRDefault="006D0C0B" w:rsidP="00D661E6">
      <w:pPr>
        <w:pStyle w:val="ListParagraph"/>
        <w:tabs>
          <w:tab w:val="left" w:pos="567"/>
          <w:tab w:val="left" w:pos="1134"/>
          <w:tab w:val="left" w:pos="170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 xml:space="preserve">The Waste and Other capital delivery programme </w:t>
      </w:r>
      <w:r w:rsidRPr="00D635BF">
        <w:rPr>
          <w:rFonts w:ascii="Arial" w:hAnsi="Arial" w:cs="Arial"/>
          <w:sz w:val="24"/>
          <w:szCs w:val="24"/>
        </w:rPr>
        <w:t>fo</w:t>
      </w:r>
      <w:r w:rsidRPr="00D635BF">
        <w:rPr>
          <w:rFonts w:ascii="Arial" w:hAnsi="Arial" w:cs="Arial"/>
          <w:sz w:val="24"/>
          <w:szCs w:val="24"/>
        </w:rPr>
        <w:t>r 2018/19 is £0.677m</w:t>
      </w:r>
      <w:r w:rsidRPr="00D635BF">
        <w:rPr>
          <w:rFonts w:ascii="Arial" w:hAnsi="Arial" w:cs="Arial"/>
          <w:sz w:val="24"/>
          <w:szCs w:val="24"/>
        </w:rPr>
        <w:t xml:space="preserve"> with forecast outturn of £1.619m, a variance of £0.942m</w:t>
      </w:r>
      <w:r w:rsidRPr="00D635BF">
        <w:rPr>
          <w:rFonts w:ascii="Arial" w:hAnsi="Arial" w:cs="Arial"/>
          <w:sz w:val="24"/>
          <w:szCs w:val="24"/>
        </w:rPr>
        <w:t xml:space="preserve">. </w:t>
      </w:r>
      <w:r w:rsidRPr="00D635BF">
        <w:rPr>
          <w:rFonts w:ascii="Arial" w:hAnsi="Arial" w:cs="Arial"/>
          <w:sz w:val="24"/>
          <w:szCs w:val="24"/>
        </w:rPr>
        <w:t xml:space="preserve"> The variance is all the result of earlier than profiled delivery primarily covering f</w:t>
      </w:r>
      <w:r w:rsidRPr="00D635BF">
        <w:rPr>
          <w:rFonts w:ascii="Arial" w:hAnsi="Arial" w:cs="Arial"/>
          <w:sz w:val="24"/>
          <w:szCs w:val="24"/>
        </w:rPr>
        <w:t xml:space="preserve">ire </w:t>
      </w:r>
      <w:r w:rsidRPr="00D635BF">
        <w:rPr>
          <w:rFonts w:ascii="Arial" w:hAnsi="Arial" w:cs="Arial"/>
          <w:sz w:val="24"/>
          <w:szCs w:val="24"/>
        </w:rPr>
        <w:t>s</w:t>
      </w:r>
      <w:r w:rsidRPr="00D635BF">
        <w:rPr>
          <w:rFonts w:ascii="Arial" w:hAnsi="Arial" w:cs="Arial"/>
          <w:sz w:val="24"/>
          <w:szCs w:val="24"/>
        </w:rPr>
        <w:t>uppression systems at Farri</w:t>
      </w:r>
      <w:r w:rsidRPr="00D635BF">
        <w:rPr>
          <w:rFonts w:ascii="Arial" w:hAnsi="Arial" w:cs="Arial"/>
          <w:sz w:val="24"/>
          <w:szCs w:val="24"/>
        </w:rPr>
        <w:t>ngton Waste p</w:t>
      </w:r>
      <w:r w:rsidRPr="00D635BF">
        <w:rPr>
          <w:rFonts w:ascii="Arial" w:hAnsi="Arial" w:cs="Arial"/>
          <w:sz w:val="24"/>
          <w:szCs w:val="24"/>
        </w:rPr>
        <w:t xml:space="preserve">lant and Thornton Waste plant </w:t>
      </w:r>
      <w:r w:rsidRPr="00D635BF">
        <w:rPr>
          <w:rFonts w:ascii="Arial" w:hAnsi="Arial" w:cs="Arial"/>
          <w:sz w:val="24"/>
          <w:szCs w:val="24"/>
        </w:rPr>
        <w:t>(</w:t>
      </w:r>
      <w:r w:rsidRPr="00D635BF">
        <w:rPr>
          <w:rFonts w:ascii="Arial" w:hAnsi="Arial" w:cs="Arial"/>
          <w:sz w:val="24"/>
          <w:szCs w:val="24"/>
        </w:rPr>
        <w:t>£0.446m</w:t>
      </w:r>
      <w:r w:rsidRPr="00D635BF">
        <w:rPr>
          <w:rFonts w:ascii="Arial" w:hAnsi="Arial" w:cs="Arial"/>
          <w:sz w:val="24"/>
          <w:szCs w:val="24"/>
        </w:rPr>
        <w:t xml:space="preserve">), Household Waste Recycling Centres </w:t>
      </w:r>
      <w:r w:rsidRPr="00D635BF">
        <w:rPr>
          <w:rFonts w:ascii="Arial" w:hAnsi="Arial" w:cs="Arial"/>
          <w:sz w:val="24"/>
          <w:szCs w:val="24"/>
        </w:rPr>
        <w:t xml:space="preserve">(£0.372m), ISSIS Replacement/Resolution ICT system upgrades (£0.095m) along with other low levels of expenditure across a number of 2019/20 profiled schemes.  </w:t>
      </w:r>
    </w:p>
    <w:p w:rsidR="00D661E6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153C09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  <w:r w:rsidRPr="00D635BF">
        <w:rPr>
          <w:rFonts w:ascii="Arial" w:hAnsi="Arial" w:cs="Arial"/>
          <w:b/>
          <w:sz w:val="24"/>
          <w:szCs w:val="24"/>
        </w:rPr>
        <w:t xml:space="preserve">Adult </w:t>
      </w:r>
      <w:r w:rsidRPr="00D635BF">
        <w:rPr>
          <w:rFonts w:ascii="Arial" w:hAnsi="Arial" w:cs="Arial"/>
          <w:b/>
          <w:sz w:val="24"/>
          <w:szCs w:val="24"/>
        </w:rPr>
        <w:t>Social Care</w:t>
      </w:r>
    </w:p>
    <w:p w:rsidR="00D661E6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153C09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>The A</w:t>
      </w:r>
      <w:r w:rsidRPr="00D635BF">
        <w:rPr>
          <w:rFonts w:ascii="Arial" w:hAnsi="Arial" w:cs="Arial"/>
          <w:sz w:val="24"/>
          <w:szCs w:val="24"/>
        </w:rPr>
        <w:t xml:space="preserve">dult Social Care capital </w:t>
      </w:r>
      <w:r w:rsidRPr="00D635BF">
        <w:rPr>
          <w:rFonts w:ascii="Arial" w:hAnsi="Arial" w:cs="Arial"/>
          <w:sz w:val="24"/>
          <w:szCs w:val="24"/>
        </w:rPr>
        <w:t>delivery programme for 2018/19 is £13.687m</w:t>
      </w:r>
      <w:r w:rsidRPr="00D635BF">
        <w:rPr>
          <w:rFonts w:ascii="Arial" w:hAnsi="Arial" w:cs="Arial"/>
          <w:sz w:val="24"/>
          <w:szCs w:val="24"/>
        </w:rPr>
        <w:t xml:space="preserve">, with forecast outturn of £13.817m, a variance of </w:t>
      </w:r>
      <w:r w:rsidRPr="00D635BF">
        <w:rPr>
          <w:rFonts w:ascii="Arial" w:hAnsi="Arial" w:cs="Arial"/>
          <w:sz w:val="24"/>
          <w:szCs w:val="24"/>
        </w:rPr>
        <w:t>£0.130m</w:t>
      </w:r>
      <w:r w:rsidRPr="00D635BF">
        <w:rPr>
          <w:rFonts w:ascii="Arial" w:hAnsi="Arial" w:cs="Arial"/>
          <w:sz w:val="24"/>
          <w:szCs w:val="24"/>
        </w:rPr>
        <w:t xml:space="preserve"> </w:t>
      </w:r>
      <w:r w:rsidRPr="00D635BF">
        <w:rPr>
          <w:rFonts w:ascii="Arial" w:hAnsi="Arial" w:cs="Arial"/>
          <w:sz w:val="24"/>
          <w:szCs w:val="24"/>
        </w:rPr>
        <w:t xml:space="preserve">due to earlier than profiled delivery on </w:t>
      </w:r>
      <w:r w:rsidRPr="00D635BF">
        <w:rPr>
          <w:rFonts w:ascii="Arial" w:hAnsi="Arial" w:cs="Arial"/>
          <w:sz w:val="24"/>
          <w:szCs w:val="24"/>
        </w:rPr>
        <w:t xml:space="preserve">Social Care Reform LpRes system </w:t>
      </w:r>
      <w:r w:rsidRPr="00D635BF">
        <w:rPr>
          <w:rFonts w:ascii="Arial" w:hAnsi="Arial" w:cs="Arial"/>
          <w:sz w:val="24"/>
          <w:szCs w:val="24"/>
        </w:rPr>
        <w:t>(</w:t>
      </w:r>
      <w:r w:rsidRPr="00D635BF">
        <w:rPr>
          <w:rFonts w:ascii="Arial" w:hAnsi="Arial" w:cs="Arial"/>
          <w:sz w:val="24"/>
          <w:szCs w:val="24"/>
        </w:rPr>
        <w:t>£</w:t>
      </w:r>
      <w:r w:rsidRPr="00D635BF">
        <w:rPr>
          <w:rFonts w:ascii="Arial" w:hAnsi="Arial" w:cs="Arial"/>
          <w:sz w:val="24"/>
          <w:szCs w:val="24"/>
        </w:rPr>
        <w:t>0.094</w:t>
      </w:r>
      <w:r w:rsidRPr="00D635BF">
        <w:rPr>
          <w:rFonts w:ascii="Arial" w:hAnsi="Arial" w:cs="Arial"/>
          <w:sz w:val="24"/>
          <w:szCs w:val="24"/>
        </w:rPr>
        <w:t>m</w:t>
      </w:r>
      <w:r w:rsidRPr="00D635BF">
        <w:rPr>
          <w:rFonts w:ascii="Arial" w:hAnsi="Arial" w:cs="Arial"/>
          <w:sz w:val="24"/>
          <w:szCs w:val="24"/>
        </w:rPr>
        <w:t xml:space="preserve">) </w:t>
      </w:r>
      <w:r w:rsidRPr="00D635BF">
        <w:rPr>
          <w:rFonts w:ascii="Arial" w:hAnsi="Arial" w:cs="Arial"/>
          <w:sz w:val="24"/>
          <w:szCs w:val="24"/>
        </w:rPr>
        <w:t>and</w:t>
      </w:r>
      <w:r w:rsidRPr="00D635BF">
        <w:rPr>
          <w:rFonts w:ascii="Arial" w:hAnsi="Arial" w:cs="Arial"/>
          <w:sz w:val="24"/>
          <w:szCs w:val="24"/>
        </w:rPr>
        <w:t xml:space="preserve"> the </w:t>
      </w:r>
      <w:r w:rsidRPr="00D635BF">
        <w:rPr>
          <w:rFonts w:ascii="Arial" w:hAnsi="Arial" w:cs="Arial"/>
          <w:sz w:val="24"/>
          <w:szCs w:val="24"/>
        </w:rPr>
        <w:t>Preston Chape</w:t>
      </w:r>
      <w:r w:rsidRPr="00D635BF">
        <w:rPr>
          <w:rFonts w:ascii="Arial" w:hAnsi="Arial" w:cs="Arial"/>
          <w:sz w:val="24"/>
          <w:szCs w:val="24"/>
        </w:rPr>
        <w:t>l</w:t>
      </w:r>
      <w:r w:rsidRPr="00D635BF">
        <w:rPr>
          <w:rFonts w:ascii="Arial" w:hAnsi="Arial" w:cs="Arial"/>
          <w:sz w:val="24"/>
          <w:szCs w:val="24"/>
        </w:rPr>
        <w:t xml:space="preserve"> Yard Changing Places project </w:t>
      </w:r>
      <w:r w:rsidRPr="00D635BF">
        <w:rPr>
          <w:rFonts w:ascii="Arial" w:hAnsi="Arial" w:cs="Arial"/>
          <w:sz w:val="24"/>
          <w:szCs w:val="24"/>
        </w:rPr>
        <w:t>(</w:t>
      </w:r>
      <w:r w:rsidRPr="00D635BF">
        <w:rPr>
          <w:rFonts w:ascii="Arial" w:hAnsi="Arial" w:cs="Arial"/>
          <w:sz w:val="24"/>
          <w:szCs w:val="24"/>
        </w:rPr>
        <w:t>£</w:t>
      </w:r>
      <w:r w:rsidRPr="00D635BF">
        <w:rPr>
          <w:rFonts w:ascii="Arial" w:hAnsi="Arial" w:cs="Arial"/>
          <w:sz w:val="24"/>
          <w:szCs w:val="24"/>
        </w:rPr>
        <w:t>0.036m</w:t>
      </w:r>
      <w:r w:rsidRPr="00D635BF">
        <w:rPr>
          <w:rFonts w:ascii="Arial" w:hAnsi="Arial" w:cs="Arial"/>
          <w:sz w:val="24"/>
          <w:szCs w:val="24"/>
        </w:rPr>
        <w:t>).</w:t>
      </w:r>
    </w:p>
    <w:p w:rsidR="005C6FCD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097275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  <w:r w:rsidRPr="00D635BF">
        <w:rPr>
          <w:rFonts w:ascii="Arial" w:hAnsi="Arial" w:cs="Arial"/>
          <w:b/>
          <w:sz w:val="24"/>
          <w:szCs w:val="24"/>
        </w:rPr>
        <w:t>Corporate</w:t>
      </w:r>
    </w:p>
    <w:p w:rsidR="00D661E6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sz w:val="24"/>
          <w:szCs w:val="24"/>
        </w:rPr>
      </w:pPr>
    </w:p>
    <w:p w:rsidR="00097275" w:rsidRDefault="006D0C0B" w:rsidP="00D661E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>The Corporate capital delivery programme for 2018/19 is £13.2</w:t>
      </w:r>
      <w:r w:rsidRPr="00D635BF">
        <w:rPr>
          <w:rFonts w:ascii="Arial" w:hAnsi="Arial" w:cs="Arial"/>
          <w:sz w:val="24"/>
          <w:szCs w:val="24"/>
        </w:rPr>
        <w:t>4</w:t>
      </w:r>
      <w:r w:rsidRPr="00D635BF">
        <w:rPr>
          <w:rFonts w:ascii="Arial" w:hAnsi="Arial" w:cs="Arial"/>
          <w:sz w:val="24"/>
          <w:szCs w:val="24"/>
        </w:rPr>
        <w:t>4m</w:t>
      </w:r>
      <w:r w:rsidRPr="00D635BF">
        <w:rPr>
          <w:rFonts w:ascii="Arial" w:hAnsi="Arial" w:cs="Arial"/>
          <w:sz w:val="24"/>
          <w:szCs w:val="24"/>
        </w:rPr>
        <w:t xml:space="preserve">, with forecast outturn of £19.153m, a variance of £5.909m. </w:t>
      </w:r>
      <w:r w:rsidRPr="00D635BF">
        <w:rPr>
          <w:rFonts w:ascii="Arial" w:hAnsi="Arial" w:cs="Arial"/>
          <w:sz w:val="24"/>
          <w:szCs w:val="24"/>
        </w:rPr>
        <w:t xml:space="preserve"> Outturn spend against this budget is forecast at £</w:t>
      </w:r>
      <w:r w:rsidRPr="00D635BF">
        <w:rPr>
          <w:rFonts w:ascii="Arial" w:hAnsi="Arial" w:cs="Arial"/>
          <w:sz w:val="24"/>
          <w:szCs w:val="24"/>
        </w:rPr>
        <w:t>19.153</w:t>
      </w:r>
      <w:r w:rsidRPr="00D635BF">
        <w:rPr>
          <w:rFonts w:ascii="Arial" w:hAnsi="Arial" w:cs="Arial"/>
          <w:sz w:val="24"/>
          <w:szCs w:val="24"/>
        </w:rPr>
        <w:t>m giving a variance of</w:t>
      </w:r>
      <w:r w:rsidRPr="00D635BF">
        <w:rPr>
          <w:rFonts w:ascii="Arial" w:hAnsi="Arial" w:cs="Arial"/>
          <w:sz w:val="24"/>
          <w:szCs w:val="24"/>
        </w:rPr>
        <w:t xml:space="preserve"> £</w:t>
      </w:r>
      <w:r w:rsidRPr="00D635BF">
        <w:rPr>
          <w:rFonts w:ascii="Arial" w:hAnsi="Arial" w:cs="Arial"/>
          <w:sz w:val="24"/>
          <w:szCs w:val="24"/>
        </w:rPr>
        <w:t>5.909</w:t>
      </w:r>
      <w:r w:rsidRPr="00D635BF">
        <w:rPr>
          <w:rFonts w:ascii="Arial" w:hAnsi="Arial" w:cs="Arial"/>
          <w:sz w:val="24"/>
          <w:szCs w:val="24"/>
        </w:rPr>
        <w:t xml:space="preserve">m against the delivery programme and </w:t>
      </w:r>
      <w:r w:rsidRPr="00D635BF">
        <w:rPr>
          <w:rFonts w:ascii="Arial" w:hAnsi="Arial" w:cs="Arial"/>
          <w:sz w:val="24"/>
          <w:szCs w:val="24"/>
        </w:rPr>
        <w:t>primarily covers earlier than profiled delivery across a number of schemes</w:t>
      </w:r>
      <w:r w:rsidRPr="00D635BF">
        <w:rPr>
          <w:rFonts w:ascii="Arial" w:hAnsi="Arial" w:cs="Arial"/>
          <w:sz w:val="24"/>
          <w:szCs w:val="24"/>
        </w:rPr>
        <w:t xml:space="preserve">: </w:t>
      </w:r>
    </w:p>
    <w:p w:rsidR="00D661E6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81ADA" w:rsidRPr="00D635BF" w:rsidRDefault="006D0C0B" w:rsidP="00D661E6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 xml:space="preserve">Brierfield Mill commitment of £0.547m to support the redevelopment of the old Northlight Mill in conjunction with Growth Deal funding </w:t>
      </w:r>
      <w:r w:rsidRPr="00D635BF">
        <w:rPr>
          <w:rFonts w:ascii="Arial" w:hAnsi="Arial" w:cs="Arial"/>
          <w:sz w:val="24"/>
          <w:szCs w:val="24"/>
        </w:rPr>
        <w:t>to provide economic benefit in Pendle.</w:t>
      </w:r>
    </w:p>
    <w:p w:rsidR="00F81ADA" w:rsidRPr="00D635BF" w:rsidRDefault="006D0C0B" w:rsidP="00D661E6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 xml:space="preserve">Additional works on Cuerden Strategic site costing £0.687m to safeguard the initial road preparation works awaiting future plans for the site. </w:t>
      </w:r>
    </w:p>
    <w:p w:rsidR="00F81ADA" w:rsidRPr="00D635BF" w:rsidRDefault="006D0C0B" w:rsidP="00D661E6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>Additional works to reopen libraries in areas where service had ceased of</w:t>
      </w:r>
      <w:r w:rsidRPr="00D635BF">
        <w:rPr>
          <w:rFonts w:ascii="Arial" w:hAnsi="Arial" w:cs="Arial"/>
          <w:sz w:val="24"/>
          <w:szCs w:val="24"/>
        </w:rPr>
        <w:t xml:space="preserve"> £0.802m</w:t>
      </w:r>
    </w:p>
    <w:p w:rsidR="00F81ADA" w:rsidRPr="00D635BF" w:rsidRDefault="006D0C0B" w:rsidP="00D661E6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>£0.244m of spend to terminate leases and consolidate the amount of building stock used by the council</w:t>
      </w:r>
    </w:p>
    <w:p w:rsidR="00F81ADA" w:rsidRPr="00D635BF" w:rsidRDefault="006D0C0B" w:rsidP="00D661E6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 xml:space="preserve">£0.904m on the councils stock of residential care homes to create additional capacity and to facilitate the use of greener heating systems </w:t>
      </w:r>
    </w:p>
    <w:p w:rsidR="00F81ADA" w:rsidRDefault="006D0C0B" w:rsidP="00D661E6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>£4.48</w:t>
      </w:r>
      <w:r w:rsidRPr="00D635BF">
        <w:rPr>
          <w:rFonts w:ascii="Arial" w:hAnsi="Arial" w:cs="Arial"/>
          <w:sz w:val="24"/>
          <w:szCs w:val="24"/>
        </w:rPr>
        <w:t>9m on reactive maintenance projects</w:t>
      </w:r>
      <w:r>
        <w:rPr>
          <w:rFonts w:ascii="Arial" w:hAnsi="Arial" w:cs="Arial"/>
          <w:sz w:val="24"/>
          <w:szCs w:val="24"/>
        </w:rPr>
        <w:t xml:space="preserve"> to repair and maintain council</w:t>
      </w:r>
      <w:r w:rsidRPr="00D635BF">
        <w:rPr>
          <w:rFonts w:ascii="Arial" w:hAnsi="Arial" w:cs="Arial"/>
          <w:sz w:val="24"/>
          <w:szCs w:val="24"/>
        </w:rPr>
        <w:t xml:space="preserve">'s building assets and to adapt for the needs of disabled people totalling </w:t>
      </w:r>
    </w:p>
    <w:p w:rsidR="00D661E6" w:rsidRPr="00D661E6" w:rsidRDefault="006D0C0B" w:rsidP="00D661E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1029B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 xml:space="preserve">The earlier than profiled delivery is offset by slipped delivery on various projects including </w:t>
      </w:r>
    </w:p>
    <w:p w:rsidR="00C234DB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sz w:val="24"/>
          <w:szCs w:val="24"/>
        </w:rPr>
      </w:pPr>
    </w:p>
    <w:p w:rsidR="00097275" w:rsidRPr="00D635BF" w:rsidRDefault="006D0C0B" w:rsidP="00D661E6">
      <w:pPr>
        <w:pStyle w:val="ListParagraph"/>
        <w:numPr>
          <w:ilvl w:val="0"/>
          <w:numId w:val="5"/>
        </w:numPr>
        <w:tabs>
          <w:tab w:val="left" w:pos="567"/>
          <w:tab w:val="left" w:pos="114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>£0.670m relating</w:t>
      </w:r>
      <w:r w:rsidRPr="00D635BF">
        <w:rPr>
          <w:rFonts w:ascii="Arial" w:hAnsi="Arial" w:cs="Arial"/>
          <w:sz w:val="24"/>
          <w:szCs w:val="24"/>
        </w:rPr>
        <w:t xml:space="preserve"> to </w:t>
      </w:r>
      <w:r w:rsidRPr="00D635BF">
        <w:rPr>
          <w:rFonts w:ascii="Arial" w:hAnsi="Arial" w:cs="Arial"/>
          <w:sz w:val="24"/>
          <w:szCs w:val="24"/>
        </w:rPr>
        <w:t>Highways Infrastructure Fund Support bids due to delays in appointing consultants an</w:t>
      </w:r>
      <w:r w:rsidRPr="00D635BF">
        <w:rPr>
          <w:rFonts w:ascii="Arial" w:hAnsi="Arial" w:cs="Arial"/>
          <w:sz w:val="24"/>
          <w:szCs w:val="24"/>
        </w:rPr>
        <w:t>d agreeing scope with partners</w:t>
      </w:r>
      <w:r w:rsidRPr="00D635BF">
        <w:rPr>
          <w:rFonts w:ascii="Arial" w:hAnsi="Arial" w:cs="Arial"/>
          <w:sz w:val="24"/>
          <w:szCs w:val="24"/>
        </w:rPr>
        <w:t>.</w:t>
      </w:r>
      <w:r w:rsidRPr="00D635BF">
        <w:rPr>
          <w:rFonts w:ascii="Arial" w:hAnsi="Arial" w:cs="Arial"/>
          <w:sz w:val="24"/>
          <w:szCs w:val="24"/>
        </w:rPr>
        <w:t xml:space="preserve"> </w:t>
      </w:r>
    </w:p>
    <w:p w:rsidR="0031029B" w:rsidRPr="00D635BF" w:rsidRDefault="006D0C0B" w:rsidP="00D661E6">
      <w:pPr>
        <w:pStyle w:val="ListParagraph"/>
        <w:numPr>
          <w:ilvl w:val="0"/>
          <w:numId w:val="5"/>
        </w:numPr>
        <w:tabs>
          <w:tab w:val="left" w:pos="567"/>
          <w:tab w:val="left" w:pos="114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>£1.181m rel</w:t>
      </w:r>
      <w:r>
        <w:rPr>
          <w:rFonts w:ascii="Arial" w:hAnsi="Arial" w:cs="Arial"/>
          <w:sz w:val="24"/>
          <w:szCs w:val="24"/>
        </w:rPr>
        <w:t>a</w:t>
      </w:r>
      <w:r w:rsidRPr="00D635BF">
        <w:rPr>
          <w:rFonts w:ascii="Arial" w:hAnsi="Arial" w:cs="Arial"/>
          <w:sz w:val="24"/>
          <w:szCs w:val="24"/>
        </w:rPr>
        <w:t xml:space="preserve">ting to Lomeshaye Industrial Estate </w:t>
      </w:r>
      <w:r w:rsidRPr="00D635BF">
        <w:rPr>
          <w:rFonts w:ascii="Arial" w:hAnsi="Arial" w:cs="Arial"/>
          <w:sz w:val="24"/>
          <w:szCs w:val="24"/>
        </w:rPr>
        <w:t>due to delays in delivery partner contracting and</w:t>
      </w:r>
      <w:r w:rsidRPr="00D635BF">
        <w:rPr>
          <w:rFonts w:ascii="Arial" w:hAnsi="Arial" w:cs="Arial"/>
          <w:sz w:val="24"/>
          <w:szCs w:val="24"/>
        </w:rPr>
        <w:t xml:space="preserve"> proving defrayed expenditure</w:t>
      </w:r>
      <w:r w:rsidRPr="00D635BF">
        <w:rPr>
          <w:rFonts w:ascii="Arial" w:hAnsi="Arial" w:cs="Arial"/>
          <w:sz w:val="24"/>
          <w:szCs w:val="24"/>
        </w:rPr>
        <w:t>.</w:t>
      </w:r>
      <w:r w:rsidRPr="00D635BF">
        <w:rPr>
          <w:rFonts w:ascii="Arial" w:hAnsi="Arial" w:cs="Arial"/>
          <w:sz w:val="24"/>
          <w:szCs w:val="24"/>
        </w:rPr>
        <w:t xml:space="preserve"> </w:t>
      </w:r>
    </w:p>
    <w:p w:rsidR="009D4EC4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sz w:val="24"/>
          <w:szCs w:val="24"/>
        </w:rPr>
      </w:pPr>
    </w:p>
    <w:p w:rsidR="0030077E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  <w:r w:rsidRPr="00D635BF">
        <w:rPr>
          <w:rFonts w:ascii="Arial" w:hAnsi="Arial" w:cs="Arial"/>
          <w:b/>
          <w:sz w:val="24"/>
          <w:szCs w:val="24"/>
        </w:rPr>
        <w:t>Vehicles</w:t>
      </w:r>
    </w:p>
    <w:p w:rsidR="00D661E6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30077E" w:rsidRDefault="006D0C0B" w:rsidP="00D661E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 xml:space="preserve">The </w:t>
      </w:r>
      <w:r w:rsidRPr="00D635BF">
        <w:rPr>
          <w:rFonts w:ascii="Arial" w:hAnsi="Arial" w:cs="Arial"/>
          <w:sz w:val="24"/>
          <w:szCs w:val="24"/>
        </w:rPr>
        <w:t xml:space="preserve">Vehicles </w:t>
      </w:r>
      <w:r>
        <w:rPr>
          <w:rFonts w:ascii="Arial" w:hAnsi="Arial" w:cs="Arial"/>
          <w:sz w:val="24"/>
          <w:szCs w:val="24"/>
        </w:rPr>
        <w:t xml:space="preserve">capital delivery programme </w:t>
      </w:r>
      <w:r w:rsidRPr="00D635BF">
        <w:rPr>
          <w:rFonts w:ascii="Arial" w:hAnsi="Arial" w:cs="Arial"/>
          <w:sz w:val="24"/>
          <w:szCs w:val="24"/>
        </w:rPr>
        <w:t>for 2018/19 is £</w:t>
      </w:r>
      <w:r w:rsidRPr="00D635BF">
        <w:rPr>
          <w:rFonts w:ascii="Arial" w:hAnsi="Arial" w:cs="Arial"/>
          <w:sz w:val="24"/>
          <w:szCs w:val="24"/>
        </w:rPr>
        <w:t>3.720</w:t>
      </w:r>
      <w:r w:rsidRPr="00D635BF">
        <w:rPr>
          <w:rFonts w:ascii="Arial" w:hAnsi="Arial" w:cs="Arial"/>
          <w:sz w:val="24"/>
          <w:szCs w:val="24"/>
        </w:rPr>
        <w:t>m</w:t>
      </w:r>
      <w:r w:rsidRPr="00D635BF">
        <w:rPr>
          <w:rFonts w:ascii="Arial" w:hAnsi="Arial" w:cs="Arial"/>
          <w:sz w:val="24"/>
          <w:szCs w:val="24"/>
        </w:rPr>
        <w:t xml:space="preserve">, with forecast outturn of </w:t>
      </w:r>
      <w:r w:rsidRPr="00D635BF">
        <w:rPr>
          <w:rFonts w:ascii="Arial" w:hAnsi="Arial" w:cs="Arial"/>
          <w:sz w:val="24"/>
          <w:szCs w:val="24"/>
        </w:rPr>
        <w:t>£</w:t>
      </w:r>
      <w:r w:rsidRPr="00D635BF">
        <w:rPr>
          <w:rFonts w:ascii="Arial" w:hAnsi="Arial" w:cs="Arial"/>
          <w:sz w:val="24"/>
          <w:szCs w:val="24"/>
        </w:rPr>
        <w:t>4.020</w:t>
      </w:r>
      <w:r w:rsidRPr="00D635BF">
        <w:rPr>
          <w:rFonts w:ascii="Arial" w:hAnsi="Arial" w:cs="Arial"/>
          <w:sz w:val="24"/>
          <w:szCs w:val="24"/>
        </w:rPr>
        <w:t>m giving a variance of £0.</w:t>
      </w:r>
      <w:r w:rsidRPr="00D635BF">
        <w:rPr>
          <w:rFonts w:ascii="Arial" w:hAnsi="Arial" w:cs="Arial"/>
          <w:sz w:val="24"/>
          <w:szCs w:val="24"/>
        </w:rPr>
        <w:t>300</w:t>
      </w:r>
      <w:r w:rsidRPr="00D635BF">
        <w:rPr>
          <w:rFonts w:ascii="Arial" w:hAnsi="Arial" w:cs="Arial"/>
          <w:sz w:val="24"/>
          <w:szCs w:val="24"/>
        </w:rPr>
        <w:t>m</w:t>
      </w:r>
      <w:r w:rsidRPr="00D635BF">
        <w:rPr>
          <w:rFonts w:ascii="Arial" w:hAnsi="Arial" w:cs="Arial"/>
          <w:sz w:val="24"/>
          <w:szCs w:val="24"/>
        </w:rPr>
        <w:t xml:space="preserve"> </w:t>
      </w:r>
      <w:r w:rsidRPr="00D635BF">
        <w:rPr>
          <w:rFonts w:ascii="Arial" w:hAnsi="Arial" w:cs="Arial"/>
          <w:sz w:val="24"/>
          <w:szCs w:val="24"/>
        </w:rPr>
        <w:t xml:space="preserve">against the delivery programme </w:t>
      </w:r>
      <w:r w:rsidRPr="00D635BF">
        <w:rPr>
          <w:rFonts w:ascii="Arial" w:hAnsi="Arial" w:cs="Arial"/>
          <w:sz w:val="24"/>
          <w:szCs w:val="24"/>
        </w:rPr>
        <w:t>due to:</w:t>
      </w:r>
    </w:p>
    <w:p w:rsidR="00D661E6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964FA" w:rsidRPr="00D635BF" w:rsidRDefault="006D0C0B" w:rsidP="00D661E6">
      <w:pPr>
        <w:pStyle w:val="ListParagraph"/>
        <w:numPr>
          <w:ilvl w:val="0"/>
          <w:numId w:val="13"/>
        </w:numPr>
        <w:tabs>
          <w:tab w:val="left" w:pos="1134"/>
          <w:tab w:val="left" w:pos="1701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>Slipped Delivery</w:t>
      </w:r>
      <w:r w:rsidRPr="00D635BF">
        <w:rPr>
          <w:rFonts w:ascii="Arial" w:hAnsi="Arial" w:cs="Arial"/>
          <w:sz w:val="24"/>
          <w:szCs w:val="24"/>
        </w:rPr>
        <w:t xml:space="preserve"> of</w:t>
      </w:r>
      <w:r w:rsidRPr="00D635BF">
        <w:rPr>
          <w:rFonts w:ascii="Arial" w:hAnsi="Arial" w:cs="Arial"/>
          <w:sz w:val="24"/>
          <w:szCs w:val="24"/>
        </w:rPr>
        <w:t xml:space="preserve"> </w:t>
      </w:r>
      <w:r w:rsidRPr="00D635BF">
        <w:rPr>
          <w:rFonts w:ascii="Arial" w:hAnsi="Arial" w:cs="Arial"/>
          <w:sz w:val="24"/>
          <w:szCs w:val="24"/>
        </w:rPr>
        <w:t xml:space="preserve">-£0.300m on Mobile Libraries as it is anticipated that only </w:t>
      </w:r>
      <w:r>
        <w:rPr>
          <w:rFonts w:ascii="Arial" w:hAnsi="Arial" w:cs="Arial"/>
          <w:sz w:val="24"/>
          <w:szCs w:val="24"/>
        </w:rPr>
        <w:br/>
        <w:t>one</w:t>
      </w:r>
      <w:r w:rsidRPr="00D635BF">
        <w:rPr>
          <w:rFonts w:ascii="Arial" w:hAnsi="Arial" w:cs="Arial"/>
          <w:sz w:val="24"/>
          <w:szCs w:val="24"/>
        </w:rPr>
        <w:t xml:space="preserve"> vehicle will be </w:t>
      </w:r>
      <w:r>
        <w:rPr>
          <w:rFonts w:ascii="Arial" w:hAnsi="Arial" w:cs="Arial"/>
          <w:sz w:val="24"/>
          <w:szCs w:val="24"/>
        </w:rPr>
        <w:t>delivered this financial year.</w:t>
      </w:r>
    </w:p>
    <w:p w:rsidR="0030077E" w:rsidRPr="00D635BF" w:rsidRDefault="006D0C0B" w:rsidP="00D661E6">
      <w:pPr>
        <w:pStyle w:val="ListParagraph"/>
        <w:numPr>
          <w:ilvl w:val="0"/>
          <w:numId w:val="13"/>
        </w:numPr>
        <w:tabs>
          <w:tab w:val="left" w:pos="1134"/>
          <w:tab w:val="left" w:pos="1701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 xml:space="preserve">Additional delivery </w:t>
      </w:r>
      <w:r w:rsidRPr="00D635BF">
        <w:rPr>
          <w:rFonts w:ascii="Arial" w:hAnsi="Arial" w:cs="Arial"/>
          <w:sz w:val="24"/>
          <w:szCs w:val="24"/>
        </w:rPr>
        <w:t xml:space="preserve">of </w:t>
      </w:r>
      <w:r w:rsidRPr="00D635BF">
        <w:rPr>
          <w:rFonts w:ascii="Arial" w:hAnsi="Arial" w:cs="Arial"/>
          <w:sz w:val="24"/>
          <w:szCs w:val="24"/>
        </w:rPr>
        <w:t xml:space="preserve">£0.600m </w:t>
      </w:r>
      <w:r w:rsidRPr="00D635BF">
        <w:rPr>
          <w:rFonts w:ascii="Arial" w:hAnsi="Arial" w:cs="Arial"/>
          <w:sz w:val="24"/>
          <w:szCs w:val="24"/>
        </w:rPr>
        <w:t>due to service requirements resulting in more orders being placed this year than originally expected.</w:t>
      </w:r>
    </w:p>
    <w:p w:rsidR="0030077E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sz w:val="24"/>
          <w:szCs w:val="24"/>
        </w:rPr>
      </w:pPr>
    </w:p>
    <w:p w:rsidR="002949B9" w:rsidRPr="00D635BF" w:rsidRDefault="006D0C0B" w:rsidP="00D635BF">
      <w:pPr>
        <w:tabs>
          <w:tab w:val="left" w:pos="567"/>
          <w:tab w:val="left" w:pos="1134"/>
          <w:tab w:val="left" w:pos="1701"/>
        </w:tabs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br w:type="page"/>
      </w:r>
    </w:p>
    <w:p w:rsidR="008F0F7B" w:rsidRPr="007119CE" w:rsidRDefault="006D0C0B" w:rsidP="007119CE">
      <w:pPr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7119CE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Pr="007119CE">
        <w:rPr>
          <w:rFonts w:ascii="Arial" w:hAnsi="Arial" w:cs="Arial"/>
          <w:b/>
          <w:sz w:val="24"/>
          <w:szCs w:val="24"/>
        </w:rPr>
        <w:t>2019/</w:t>
      </w:r>
      <w:r w:rsidRPr="007119CE">
        <w:rPr>
          <w:rFonts w:ascii="Arial" w:hAnsi="Arial" w:cs="Arial"/>
          <w:b/>
          <w:sz w:val="24"/>
          <w:szCs w:val="24"/>
        </w:rPr>
        <w:t xml:space="preserve">20 Capital </w:t>
      </w:r>
      <w:r w:rsidRPr="007119CE">
        <w:rPr>
          <w:rFonts w:ascii="Arial" w:hAnsi="Arial" w:cs="Arial"/>
          <w:b/>
          <w:sz w:val="24"/>
          <w:szCs w:val="24"/>
        </w:rPr>
        <w:t xml:space="preserve">Delivery </w:t>
      </w:r>
      <w:r w:rsidRPr="007119CE">
        <w:rPr>
          <w:rFonts w:ascii="Arial" w:hAnsi="Arial" w:cs="Arial"/>
          <w:b/>
          <w:sz w:val="24"/>
          <w:szCs w:val="24"/>
        </w:rPr>
        <w:t xml:space="preserve">Programme </w:t>
      </w:r>
    </w:p>
    <w:p w:rsidR="00105199" w:rsidRPr="00D635BF" w:rsidRDefault="006D0C0B" w:rsidP="00D635BF">
      <w:pPr>
        <w:tabs>
          <w:tab w:val="left" w:pos="567"/>
          <w:tab w:val="left" w:pos="1134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 xml:space="preserve">A summary of the </w:t>
      </w:r>
      <w:r w:rsidRPr="00D635BF">
        <w:rPr>
          <w:rFonts w:ascii="Arial" w:hAnsi="Arial" w:cs="Arial"/>
          <w:sz w:val="24"/>
          <w:szCs w:val="24"/>
        </w:rPr>
        <w:t xml:space="preserve">proposed </w:t>
      </w:r>
      <w:r w:rsidRPr="00D635BF">
        <w:rPr>
          <w:rFonts w:ascii="Arial" w:hAnsi="Arial" w:cs="Arial"/>
          <w:sz w:val="24"/>
          <w:szCs w:val="24"/>
        </w:rPr>
        <w:t xml:space="preserve">capital </w:t>
      </w:r>
      <w:r w:rsidRPr="00D635BF">
        <w:rPr>
          <w:rFonts w:ascii="Arial" w:hAnsi="Arial" w:cs="Arial"/>
          <w:sz w:val="24"/>
          <w:szCs w:val="24"/>
        </w:rPr>
        <w:t xml:space="preserve">delivery </w:t>
      </w:r>
      <w:r w:rsidRPr="00D635BF">
        <w:rPr>
          <w:rFonts w:ascii="Arial" w:hAnsi="Arial" w:cs="Arial"/>
          <w:sz w:val="24"/>
          <w:szCs w:val="24"/>
        </w:rPr>
        <w:t>programme for 201</w:t>
      </w:r>
      <w:r w:rsidRPr="00D635BF">
        <w:rPr>
          <w:rFonts w:ascii="Arial" w:hAnsi="Arial" w:cs="Arial"/>
          <w:sz w:val="24"/>
          <w:szCs w:val="24"/>
        </w:rPr>
        <w:t>9/</w:t>
      </w:r>
      <w:r w:rsidRPr="00D635BF">
        <w:rPr>
          <w:rFonts w:ascii="Arial" w:hAnsi="Arial" w:cs="Arial"/>
          <w:sz w:val="24"/>
          <w:szCs w:val="24"/>
        </w:rPr>
        <w:t xml:space="preserve">20 of £130.289m </w:t>
      </w:r>
      <w:r w:rsidRPr="00D635BF">
        <w:rPr>
          <w:rFonts w:ascii="Arial" w:hAnsi="Arial" w:cs="Arial"/>
          <w:sz w:val="24"/>
          <w:szCs w:val="24"/>
        </w:rPr>
        <w:t xml:space="preserve">is </w:t>
      </w:r>
      <w:r w:rsidRPr="00D635BF">
        <w:rPr>
          <w:rFonts w:ascii="Arial" w:hAnsi="Arial" w:cs="Arial"/>
          <w:sz w:val="24"/>
          <w:szCs w:val="24"/>
        </w:rPr>
        <w:t>shown below.  The proposed 2019/</w:t>
      </w:r>
      <w:r w:rsidRPr="00D635BF">
        <w:rPr>
          <w:rFonts w:ascii="Arial" w:hAnsi="Arial" w:cs="Arial"/>
          <w:sz w:val="24"/>
          <w:szCs w:val="24"/>
        </w:rPr>
        <w:t xml:space="preserve">20 delivery programme will include the provision to complete works already in the programme and </w:t>
      </w:r>
      <w:r w:rsidRPr="00D635BF">
        <w:rPr>
          <w:rFonts w:ascii="Arial" w:hAnsi="Arial" w:cs="Arial"/>
          <w:sz w:val="24"/>
          <w:szCs w:val="24"/>
        </w:rPr>
        <w:t>the addition</w:t>
      </w:r>
      <w:r w:rsidRPr="00D635BF">
        <w:rPr>
          <w:rFonts w:ascii="Arial" w:hAnsi="Arial" w:cs="Arial"/>
          <w:sz w:val="24"/>
          <w:szCs w:val="24"/>
        </w:rPr>
        <w:t xml:space="preserve"> of projects identified for utilising the </w:t>
      </w:r>
      <w:r w:rsidRPr="00D635BF">
        <w:rPr>
          <w:rFonts w:ascii="Arial" w:hAnsi="Arial" w:cs="Arial"/>
          <w:sz w:val="24"/>
          <w:szCs w:val="24"/>
        </w:rPr>
        <w:t>updated capital gra</w:t>
      </w:r>
      <w:r w:rsidRPr="00D635BF">
        <w:rPr>
          <w:rFonts w:ascii="Arial" w:hAnsi="Arial" w:cs="Arial"/>
          <w:sz w:val="24"/>
          <w:szCs w:val="24"/>
        </w:rPr>
        <w:t>nt funding for 2019/20.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207D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>Th</w:t>
      </w:r>
      <w:r w:rsidRPr="00D635BF">
        <w:rPr>
          <w:rFonts w:ascii="Arial" w:hAnsi="Arial" w:cs="Arial"/>
          <w:sz w:val="24"/>
          <w:szCs w:val="24"/>
        </w:rPr>
        <w:t>e proposed delivery programme is broadly similar in scale to the forecast outturn for 2018/19 covered earlier in the report and may need to be updated when the actual outturn position is confirmed to reflect any reprofiling impac</w:t>
      </w:r>
      <w:r w:rsidRPr="00D635BF">
        <w:rPr>
          <w:rFonts w:ascii="Arial" w:hAnsi="Arial" w:cs="Arial"/>
          <w:sz w:val="24"/>
          <w:szCs w:val="24"/>
        </w:rPr>
        <w:t>t on 2019/20 that may be required.  Table 3 below provides an analysis of the proposed delivery programme for 2019/20 by service block.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6801" w:rsidRPr="00D635BF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sz w:val="24"/>
          <w:szCs w:val="24"/>
        </w:rPr>
      </w:pPr>
    </w:p>
    <w:p w:rsidR="00426801" w:rsidRPr="007119CE" w:rsidRDefault="006D0C0B" w:rsidP="00D661E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  <w:r w:rsidRPr="007119CE">
        <w:rPr>
          <w:rFonts w:ascii="Arial" w:hAnsi="Arial" w:cs="Arial"/>
          <w:b/>
          <w:sz w:val="24"/>
          <w:szCs w:val="24"/>
        </w:rPr>
        <w:t>Table 3 – 2019/20 Capital Delivery Programme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2542"/>
        <w:gridCol w:w="1837"/>
        <w:gridCol w:w="1473"/>
        <w:gridCol w:w="1651"/>
        <w:gridCol w:w="1559"/>
      </w:tblGrid>
      <w:tr w:rsidR="007B0EB5" w:rsidTr="000A3B16">
        <w:trPr>
          <w:trHeight w:val="158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Programme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207D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Existing commitments 2019/20</w:t>
            </w:r>
          </w:p>
          <w:p w:rsidR="00426801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Additional monies received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2019/20 Grants profiled for future years spend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Initial indicative programme subject to profiling</w:t>
            </w:r>
          </w:p>
        </w:tc>
      </w:tr>
      <w:tr w:rsidR="007B0EB5" w:rsidTr="005A3E76">
        <w:trPr>
          <w:trHeight w:val="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A3B16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A3B16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A3B16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A3B16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A3B16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</w:tr>
      <w:tr w:rsidR="007B0EB5" w:rsidTr="000A3B16">
        <w:trPr>
          <w:trHeight w:val="32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Schools (excl DFC)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</w:tabs>
              <w:spacing w:after="0" w:line="240" w:lineRule="auto"/>
              <w:ind w:right="45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20.925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701"/>
              </w:tabs>
              <w:spacing w:after="0" w:line="240" w:lineRule="auto"/>
              <w:ind w:right="22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22.005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-21.072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21.859</w:t>
            </w:r>
          </w:p>
        </w:tc>
      </w:tr>
      <w:tr w:rsidR="007B0EB5" w:rsidTr="000A3B16">
        <w:trPr>
          <w:trHeight w:val="32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Schools DFC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</w:tabs>
              <w:spacing w:after="0" w:line="240" w:lineRule="auto"/>
              <w:ind w:right="45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701"/>
              </w:tabs>
              <w:spacing w:after="0" w:line="240" w:lineRule="auto"/>
              <w:ind w:right="22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2.527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2.527</w:t>
            </w:r>
          </w:p>
        </w:tc>
      </w:tr>
      <w:tr w:rsidR="007B0EB5" w:rsidTr="000A3B16">
        <w:trPr>
          <w:trHeight w:val="32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Children &amp; Young People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</w:tabs>
              <w:spacing w:after="0" w:line="240" w:lineRule="auto"/>
              <w:ind w:right="45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701"/>
              </w:tabs>
              <w:spacing w:after="0" w:line="240" w:lineRule="auto"/>
              <w:ind w:right="22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0.027</w:t>
            </w:r>
          </w:p>
        </w:tc>
      </w:tr>
      <w:tr w:rsidR="007B0EB5" w:rsidTr="000A3B16">
        <w:trPr>
          <w:trHeight w:val="32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Highways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</w:tabs>
              <w:spacing w:after="0" w:line="240" w:lineRule="auto"/>
              <w:ind w:right="45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15.613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701"/>
              </w:tabs>
              <w:spacing w:after="0" w:line="240" w:lineRule="auto"/>
              <w:ind w:right="22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31.163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46.776</w:t>
            </w:r>
          </w:p>
        </w:tc>
      </w:tr>
      <w:tr w:rsidR="007B0EB5" w:rsidTr="000A3B16">
        <w:trPr>
          <w:trHeight w:val="32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Transport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</w:tabs>
              <w:spacing w:after="0" w:line="240" w:lineRule="auto"/>
              <w:ind w:right="45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24.434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701"/>
              </w:tabs>
              <w:spacing w:after="0" w:line="240" w:lineRule="auto"/>
              <w:ind w:right="22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12.192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-6.499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30.128</w:t>
            </w:r>
          </w:p>
        </w:tc>
      </w:tr>
      <w:tr w:rsidR="007B0EB5" w:rsidTr="000A3B16">
        <w:trPr>
          <w:trHeight w:val="32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Externally Funded schemes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</w:tabs>
              <w:spacing w:after="0" w:line="240" w:lineRule="auto"/>
              <w:ind w:right="45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701"/>
              </w:tabs>
              <w:spacing w:after="0" w:line="240" w:lineRule="auto"/>
              <w:ind w:right="22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0.111</w:t>
            </w:r>
          </w:p>
        </w:tc>
      </w:tr>
      <w:tr w:rsidR="007B0EB5" w:rsidTr="000A3B16">
        <w:trPr>
          <w:trHeight w:val="32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Waste &amp; Other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</w:tabs>
              <w:spacing w:after="0" w:line="240" w:lineRule="auto"/>
              <w:ind w:right="45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701"/>
              </w:tabs>
              <w:spacing w:after="0" w:line="240" w:lineRule="auto"/>
              <w:ind w:right="22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0.190</w:t>
            </w:r>
          </w:p>
        </w:tc>
      </w:tr>
      <w:tr w:rsidR="007B0EB5" w:rsidTr="000A3B16">
        <w:trPr>
          <w:trHeight w:val="32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Adult Social Care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</w:tabs>
              <w:spacing w:after="0" w:line="240" w:lineRule="auto"/>
              <w:ind w:right="45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701"/>
              </w:tabs>
              <w:spacing w:after="0" w:line="240" w:lineRule="auto"/>
              <w:ind w:right="22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13.651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13.654</w:t>
            </w:r>
          </w:p>
        </w:tc>
      </w:tr>
      <w:tr w:rsidR="007B0EB5" w:rsidTr="000A3B16">
        <w:trPr>
          <w:trHeight w:val="32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Corporate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</w:tabs>
              <w:spacing w:after="0" w:line="240" w:lineRule="auto"/>
              <w:ind w:right="45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6.297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701"/>
              </w:tabs>
              <w:spacing w:after="0" w:line="240" w:lineRule="auto"/>
              <w:ind w:right="22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11.297</w:t>
            </w:r>
          </w:p>
        </w:tc>
      </w:tr>
      <w:tr w:rsidR="007B0EB5" w:rsidTr="000A3B16">
        <w:trPr>
          <w:trHeight w:val="32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Vehicles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</w:tabs>
              <w:spacing w:after="0" w:line="240" w:lineRule="auto"/>
              <w:ind w:right="45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701"/>
              </w:tabs>
              <w:spacing w:after="0" w:line="240" w:lineRule="auto"/>
              <w:ind w:right="22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1.680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3.720</w:t>
            </w:r>
          </w:p>
        </w:tc>
      </w:tr>
      <w:tr w:rsidR="007B0EB5" w:rsidTr="000A3B16">
        <w:trPr>
          <w:trHeight w:val="32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</w:tabs>
              <w:spacing w:after="0" w:line="240" w:lineRule="auto"/>
              <w:ind w:right="45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72.068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701"/>
              </w:tabs>
              <w:spacing w:after="0" w:line="240" w:lineRule="auto"/>
              <w:ind w:right="2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88.319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-30.098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7D" w:rsidRPr="00D635BF" w:rsidRDefault="006D0C0B" w:rsidP="000A3B1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130.289</w:t>
            </w:r>
          </w:p>
        </w:tc>
      </w:tr>
    </w:tbl>
    <w:p w:rsidR="00EC6ED1" w:rsidRPr="00D635BF" w:rsidRDefault="006D0C0B" w:rsidP="000A3B1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sz w:val="24"/>
          <w:szCs w:val="24"/>
        </w:rPr>
      </w:pPr>
    </w:p>
    <w:p w:rsidR="00500D28" w:rsidRPr="00D635BF" w:rsidRDefault="006D0C0B" w:rsidP="000A3B1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>Table 4 below shows how the 2019/20 Capital Delivery Programme is expected to be funded with a forecasted borrowing level for 2019/20 of £</w:t>
      </w:r>
      <w:r w:rsidRPr="00D635BF">
        <w:rPr>
          <w:rFonts w:ascii="Arial" w:hAnsi="Arial" w:cs="Arial"/>
          <w:sz w:val="24"/>
          <w:szCs w:val="24"/>
        </w:rPr>
        <w:t>34.924</w:t>
      </w:r>
      <w:r w:rsidRPr="00D635BF">
        <w:rPr>
          <w:rFonts w:ascii="Arial" w:hAnsi="Arial" w:cs="Arial"/>
          <w:sz w:val="24"/>
          <w:szCs w:val="24"/>
        </w:rPr>
        <w:t>m</w:t>
      </w:r>
      <w:r w:rsidRPr="00D635BF">
        <w:rPr>
          <w:rFonts w:ascii="Arial" w:hAnsi="Arial" w:cs="Arial"/>
          <w:sz w:val="24"/>
          <w:szCs w:val="24"/>
        </w:rPr>
        <w:t xml:space="preserve"> and the financing costs have been reflected in the medium term financial strategy.</w:t>
      </w:r>
    </w:p>
    <w:p w:rsidR="000A3B16" w:rsidRDefault="006D0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2567C" w:rsidRPr="00D635BF" w:rsidRDefault="006D0C0B" w:rsidP="000A3B1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  <w:r w:rsidRPr="00D635BF">
        <w:rPr>
          <w:rFonts w:ascii="Arial" w:hAnsi="Arial" w:cs="Arial"/>
          <w:b/>
          <w:sz w:val="24"/>
          <w:szCs w:val="24"/>
        </w:rPr>
        <w:t>Table 4 – 2019/20 Capital Delivery Programme Funding Sources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2684"/>
        <w:gridCol w:w="1701"/>
        <w:gridCol w:w="1417"/>
        <w:gridCol w:w="1418"/>
        <w:gridCol w:w="1842"/>
      </w:tblGrid>
      <w:tr w:rsidR="007B0EB5" w:rsidTr="005A3E76">
        <w:trPr>
          <w:trHeight w:val="1228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67C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Programme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Initial indicative pr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ogramme subject to profiling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67C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Funded by borrowing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Funded by Grant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Funded by </w:t>
            </w: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Contributions/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 funding sources</w:t>
            </w:r>
          </w:p>
        </w:tc>
      </w:tr>
      <w:tr w:rsidR="007B0EB5" w:rsidTr="005A3E76">
        <w:trPr>
          <w:trHeight w:val="276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A3B16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A3B16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A3B16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A3B16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A3B16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</w:tr>
      <w:tr w:rsidR="007B0EB5" w:rsidTr="007119CE">
        <w:trPr>
          <w:trHeight w:val="35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Schools (excl DFC)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21.859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701"/>
              </w:tabs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21.859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</w:tabs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</w:tr>
      <w:tr w:rsidR="007B0EB5" w:rsidTr="007119CE">
        <w:trPr>
          <w:trHeight w:val="22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Schools DFC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701"/>
              </w:tabs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</w:tabs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</w:tr>
      <w:tr w:rsidR="007B0EB5" w:rsidTr="007119CE">
        <w:trPr>
          <w:trHeight w:val="22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Children &amp; Young People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701"/>
              </w:tabs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</w:tabs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</w:tr>
      <w:tr w:rsidR="007B0EB5" w:rsidTr="007119CE">
        <w:trPr>
          <w:trHeight w:val="22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Highways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46.776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701"/>
              </w:tabs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26.037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</w:tabs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4.549</w:t>
            </w:r>
          </w:p>
        </w:tc>
      </w:tr>
      <w:tr w:rsidR="007B0EB5" w:rsidTr="007119CE">
        <w:trPr>
          <w:trHeight w:val="22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Transport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30.128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701"/>
              </w:tabs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23.907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</w:tabs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2.721</w:t>
            </w:r>
          </w:p>
        </w:tc>
      </w:tr>
      <w:tr w:rsidR="007B0EB5" w:rsidTr="007119CE">
        <w:trPr>
          <w:trHeight w:val="22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Externally Funded schemes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701"/>
              </w:tabs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</w:tabs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0.111</w:t>
            </w:r>
          </w:p>
        </w:tc>
      </w:tr>
      <w:tr w:rsidR="007B0EB5" w:rsidTr="007119CE">
        <w:trPr>
          <w:trHeight w:val="22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Waste &amp; Other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701"/>
              </w:tabs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</w:tabs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</w:tr>
      <w:tr w:rsidR="007B0EB5" w:rsidTr="007119CE">
        <w:trPr>
          <w:trHeight w:val="22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Adult Social Care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13.654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701"/>
              </w:tabs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13.654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</w:tabs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</w:tr>
      <w:tr w:rsidR="007B0EB5" w:rsidTr="007119CE">
        <w:trPr>
          <w:trHeight w:val="22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Corporate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701"/>
              </w:tabs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</w:tabs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</w:tr>
      <w:tr w:rsidR="007B0EB5" w:rsidTr="007119CE">
        <w:trPr>
          <w:trHeight w:val="22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Vehicles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701"/>
              </w:tabs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</w:tabs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</w:tr>
      <w:tr w:rsidR="007B0EB5" w:rsidTr="007119CE">
        <w:trPr>
          <w:trHeight w:val="22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130.289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701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34.924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701"/>
              </w:tabs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87.984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67C" w:rsidRPr="00D635BF" w:rsidRDefault="006D0C0B" w:rsidP="005A3E76">
            <w:pPr>
              <w:tabs>
                <w:tab w:val="left" w:pos="567"/>
                <w:tab w:val="left" w:pos="1134"/>
              </w:tabs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7.381</w:t>
            </w:r>
          </w:p>
        </w:tc>
      </w:tr>
    </w:tbl>
    <w:p w:rsidR="00F2567C" w:rsidRPr="00D635BF" w:rsidRDefault="006D0C0B" w:rsidP="005A3E7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sz w:val="24"/>
          <w:szCs w:val="24"/>
        </w:rPr>
      </w:pPr>
    </w:p>
    <w:p w:rsidR="007527C9" w:rsidRDefault="006D0C0B" w:rsidP="005A3E7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D635BF"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ighways</w:t>
      </w:r>
      <w:r w:rsidRPr="00D635B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A3E76" w:rsidRPr="00D635BF" w:rsidRDefault="006D0C0B" w:rsidP="005A3E7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:rsidR="007527C9" w:rsidRDefault="006D0C0B" w:rsidP="005A3E7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 xml:space="preserve">The </w:t>
      </w:r>
      <w:r w:rsidRPr="00D635BF">
        <w:rPr>
          <w:rFonts w:ascii="Arial" w:hAnsi="Arial" w:cs="Arial"/>
          <w:sz w:val="24"/>
          <w:szCs w:val="24"/>
        </w:rPr>
        <w:t xml:space="preserve">additional </w:t>
      </w:r>
      <w:r w:rsidRPr="00D635BF">
        <w:rPr>
          <w:rFonts w:ascii="Arial" w:hAnsi="Arial" w:cs="Arial"/>
          <w:sz w:val="24"/>
          <w:szCs w:val="24"/>
        </w:rPr>
        <w:t>money available for development of the 2019/20 programme is £31.163m</w:t>
      </w:r>
      <w:r>
        <w:rPr>
          <w:rFonts w:ascii="Arial" w:hAnsi="Arial" w:cs="Arial"/>
          <w:sz w:val="24"/>
          <w:szCs w:val="24"/>
        </w:rPr>
        <w:t xml:space="preserve"> </w:t>
      </w:r>
      <w:r w:rsidRPr="00D635BF">
        <w:rPr>
          <w:rFonts w:ascii="Arial" w:hAnsi="Arial" w:cs="Arial"/>
          <w:sz w:val="24"/>
          <w:szCs w:val="24"/>
        </w:rPr>
        <w:t xml:space="preserve">this is made up of £10.229m of Additional Maintenance allocation less £1.500 </w:t>
      </w:r>
      <w:r w:rsidRPr="00D635BF">
        <w:rPr>
          <w:rFonts w:ascii="Arial" w:hAnsi="Arial" w:cs="Arial"/>
          <w:sz w:val="24"/>
          <w:szCs w:val="24"/>
        </w:rPr>
        <w:t>already</w:t>
      </w:r>
      <w:r w:rsidRPr="00D635BF">
        <w:rPr>
          <w:rFonts w:ascii="Arial" w:hAnsi="Arial" w:cs="Arial"/>
          <w:sz w:val="24"/>
          <w:szCs w:val="24"/>
        </w:rPr>
        <w:t xml:space="preserve"> allocated to </w:t>
      </w:r>
      <w:r>
        <w:rPr>
          <w:rFonts w:ascii="Arial" w:hAnsi="Arial" w:cs="Arial"/>
          <w:sz w:val="24"/>
          <w:szCs w:val="24"/>
        </w:rPr>
        <w:t xml:space="preserve">the 2018/19 programme, plus </w:t>
      </w:r>
      <w:r w:rsidRPr="00D635BF">
        <w:rPr>
          <w:rFonts w:ascii="Arial" w:hAnsi="Arial" w:cs="Arial"/>
          <w:sz w:val="24"/>
          <w:szCs w:val="24"/>
        </w:rPr>
        <w:t xml:space="preserve">£3.867m of Highways Incentive funds </w:t>
      </w:r>
      <w:r w:rsidRPr="00D635BF">
        <w:rPr>
          <w:rFonts w:ascii="Arial" w:hAnsi="Arial" w:cs="Arial"/>
          <w:sz w:val="24"/>
          <w:szCs w:val="24"/>
        </w:rPr>
        <w:t>and £18.567m of Highways Maintenance grant.</w:t>
      </w:r>
    </w:p>
    <w:p w:rsidR="005A3E76" w:rsidRPr="00D635BF" w:rsidRDefault="006D0C0B" w:rsidP="005A3E7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00D28" w:rsidRPr="00D635BF" w:rsidRDefault="006D0C0B" w:rsidP="005A3E7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>There are also existing annual commitments of £15.613m.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635BF">
        <w:rPr>
          <w:rFonts w:ascii="Arial" w:hAnsi="Arial" w:cs="Arial"/>
          <w:sz w:val="24"/>
          <w:szCs w:val="24"/>
        </w:rPr>
        <w:t>These include £6.155m from previous decisions to capitalise certain works which are funded from borrowing - split £2.700m structural defects, £1.461m drai</w:t>
      </w:r>
      <w:r w:rsidRPr="00D635BF">
        <w:rPr>
          <w:rFonts w:ascii="Arial" w:hAnsi="Arial" w:cs="Arial"/>
          <w:sz w:val="24"/>
          <w:szCs w:val="24"/>
        </w:rPr>
        <w:t xml:space="preserve">nage dig downs, £0.150m traffic signals, and </w:t>
      </w:r>
      <w:r>
        <w:rPr>
          <w:rFonts w:ascii="Arial" w:hAnsi="Arial" w:cs="Arial"/>
          <w:sz w:val="24"/>
          <w:szCs w:val="24"/>
        </w:rPr>
        <w:t xml:space="preserve">£1.844 street lighting defects. </w:t>
      </w:r>
      <w:r w:rsidRPr="00D635BF">
        <w:rPr>
          <w:rFonts w:ascii="Arial" w:hAnsi="Arial" w:cs="Arial"/>
          <w:sz w:val="24"/>
          <w:szCs w:val="24"/>
        </w:rPr>
        <w:t xml:space="preserve"> There is also a commitment of £4.549m to replace energy inefficient lanterns which is funded from a loan and the remaining £4.909m is made up of slippage</w:t>
      </w:r>
      <w:r w:rsidRPr="00D635BF">
        <w:rPr>
          <w:rFonts w:ascii="Arial" w:hAnsi="Arial" w:cs="Arial"/>
          <w:sz w:val="24"/>
          <w:szCs w:val="24"/>
        </w:rPr>
        <w:t xml:space="preserve"> forecast</w:t>
      </w:r>
      <w:r w:rsidRPr="00D635BF">
        <w:rPr>
          <w:rFonts w:ascii="Arial" w:hAnsi="Arial" w:cs="Arial"/>
          <w:sz w:val="24"/>
          <w:szCs w:val="24"/>
        </w:rPr>
        <w:t xml:space="preserve"> from the 2018/1</w:t>
      </w:r>
      <w:r w:rsidRPr="00D635BF">
        <w:rPr>
          <w:rFonts w:ascii="Arial" w:hAnsi="Arial" w:cs="Arial"/>
          <w:sz w:val="24"/>
          <w:szCs w:val="24"/>
        </w:rPr>
        <w:t>9 programme.</w:t>
      </w:r>
      <w:r w:rsidRPr="00D635BF">
        <w:rPr>
          <w:rFonts w:ascii="Arial" w:hAnsi="Arial" w:cs="Arial"/>
          <w:sz w:val="24"/>
          <w:szCs w:val="24"/>
        </w:rPr>
        <w:t xml:space="preserve">  Table 5 below details the make-up of the Highways delivery programme.</w:t>
      </w:r>
    </w:p>
    <w:p w:rsidR="004C0952" w:rsidRPr="00D635BF" w:rsidRDefault="006D0C0B" w:rsidP="005A3E7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A3E76" w:rsidRDefault="006D0C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C0952" w:rsidRPr="00D635BF" w:rsidRDefault="006D0C0B" w:rsidP="005A3E7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635BF">
        <w:rPr>
          <w:rFonts w:ascii="Arial" w:hAnsi="Arial" w:cs="Arial"/>
          <w:b/>
          <w:sz w:val="24"/>
          <w:szCs w:val="24"/>
        </w:rPr>
        <w:t>Table 5 – Highways 2019/20 Delivery Programme</w:t>
      </w:r>
    </w:p>
    <w:tbl>
      <w:tblPr>
        <w:tblStyle w:val="TableGrid"/>
        <w:tblW w:w="9277" w:type="dxa"/>
        <w:tblLook w:val="04A0" w:firstRow="1" w:lastRow="0" w:firstColumn="1" w:lastColumn="0" w:noHBand="0" w:noVBand="1"/>
      </w:tblPr>
      <w:tblGrid>
        <w:gridCol w:w="3176"/>
        <w:gridCol w:w="1777"/>
        <w:gridCol w:w="1417"/>
        <w:gridCol w:w="1357"/>
        <w:gridCol w:w="1550"/>
      </w:tblGrid>
      <w:tr w:rsidR="007B0EB5" w:rsidTr="005A3E76">
        <w:trPr>
          <w:trHeight w:val="1502"/>
        </w:trPr>
        <w:tc>
          <w:tcPr>
            <w:tcW w:w="3532" w:type="dxa"/>
            <w:shd w:val="clear" w:color="auto" w:fill="D9D9D9" w:themeFill="background1" w:themeFillShade="D9"/>
            <w:vAlign w:val="center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5BF">
              <w:rPr>
                <w:rFonts w:ascii="Arial" w:hAnsi="Arial" w:cs="Arial"/>
                <w:b/>
                <w:bCs/>
                <w:sz w:val="24"/>
                <w:szCs w:val="24"/>
              </w:rPr>
              <w:t>Programme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  <w:hideMark/>
          </w:tcPr>
          <w:p w:rsidR="004C0952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5BF">
              <w:rPr>
                <w:rFonts w:ascii="Arial" w:hAnsi="Arial" w:cs="Arial"/>
                <w:b/>
                <w:bCs/>
                <w:sz w:val="24"/>
                <w:szCs w:val="24"/>
              </w:rPr>
              <w:t>Existing commitments 2019/20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5BF">
              <w:rPr>
                <w:rFonts w:ascii="Arial" w:hAnsi="Arial" w:cs="Arial"/>
                <w:b/>
                <w:bCs/>
                <w:sz w:val="24"/>
                <w:szCs w:val="24"/>
              </w:rPr>
              <w:t>Additional monies received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  <w:hideMark/>
          </w:tcPr>
          <w:p w:rsidR="004C0952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5BF">
              <w:rPr>
                <w:rFonts w:ascii="Arial" w:hAnsi="Arial" w:cs="Arial"/>
                <w:b/>
                <w:bCs/>
                <w:sz w:val="24"/>
                <w:szCs w:val="24"/>
              </w:rPr>
              <w:t>2019/20 Grants profiled for future years spend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  <w:hideMark/>
          </w:tcPr>
          <w:p w:rsidR="004C0952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5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  <w:r w:rsidRPr="00D635BF">
              <w:rPr>
                <w:rFonts w:ascii="Arial" w:hAnsi="Arial" w:cs="Arial"/>
                <w:b/>
                <w:bCs/>
                <w:sz w:val="24"/>
                <w:szCs w:val="24"/>
              </w:rPr>
              <w:t>Programme Cost</w:t>
            </w:r>
          </w:p>
        </w:tc>
      </w:tr>
      <w:tr w:rsidR="007B0EB5" w:rsidTr="005A3E76">
        <w:trPr>
          <w:trHeight w:val="300"/>
        </w:trPr>
        <w:tc>
          <w:tcPr>
            <w:tcW w:w="3532" w:type="dxa"/>
            <w:shd w:val="clear" w:color="auto" w:fill="D9D9D9" w:themeFill="background1" w:themeFillShade="D9"/>
          </w:tcPr>
          <w:p w:rsidR="005A3E76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5A3E76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£m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5A3E76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£m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5A3E76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£m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5A3E76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£m</w:t>
            </w:r>
          </w:p>
        </w:tc>
      </w:tr>
      <w:tr w:rsidR="007B0EB5" w:rsidTr="00050739">
        <w:trPr>
          <w:trHeight w:val="396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Moss Roads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0.400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0.800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1.200</w:t>
            </w:r>
          </w:p>
        </w:tc>
      </w:tr>
      <w:tr w:rsidR="007B0EB5" w:rsidTr="00050739">
        <w:trPr>
          <w:trHeight w:val="396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Risk based condition assessments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1.150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1.150</w:t>
            </w:r>
          </w:p>
        </w:tc>
      </w:tr>
      <w:tr w:rsidR="007B0EB5" w:rsidTr="00050739">
        <w:trPr>
          <w:trHeight w:val="396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In year priorities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0.119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0.119</w:t>
            </w:r>
          </w:p>
        </w:tc>
      </w:tr>
      <w:tr w:rsidR="007B0EB5" w:rsidTr="00050739">
        <w:trPr>
          <w:trHeight w:val="396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 xml:space="preserve">Surface dressing &amp; prepatching 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0.364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2.000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2.364</w:t>
            </w:r>
          </w:p>
        </w:tc>
      </w:tr>
      <w:tr w:rsidR="007B0EB5" w:rsidTr="00050739">
        <w:trPr>
          <w:trHeight w:val="396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Emerging priorities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0.265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0.265</w:t>
            </w:r>
          </w:p>
        </w:tc>
      </w:tr>
      <w:tr w:rsidR="007B0EB5" w:rsidTr="00050739">
        <w:trPr>
          <w:trHeight w:val="396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Safety camera maintenance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0.110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0.110</w:t>
            </w:r>
          </w:p>
        </w:tc>
      </w:tr>
      <w:tr w:rsidR="007B0EB5" w:rsidTr="00050739">
        <w:trPr>
          <w:trHeight w:val="396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Derby street Bridge Ormskirk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0.162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0.501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0.663</w:t>
            </w:r>
          </w:p>
        </w:tc>
      </w:tr>
      <w:tr w:rsidR="007B0EB5" w:rsidTr="00050739">
        <w:trPr>
          <w:trHeight w:val="354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Salter Fell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0.225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0.225</w:t>
            </w:r>
          </w:p>
        </w:tc>
      </w:tr>
      <w:tr w:rsidR="007B0EB5" w:rsidTr="00050739">
        <w:trPr>
          <w:trHeight w:val="354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Greyhound viaduct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0.142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0.142</w:t>
            </w:r>
          </w:p>
        </w:tc>
      </w:tr>
      <w:tr w:rsidR="007B0EB5" w:rsidTr="00050739">
        <w:trPr>
          <w:trHeight w:val="354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Altham Road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0.090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0.090</w:t>
            </w:r>
          </w:p>
        </w:tc>
      </w:tr>
      <w:tr w:rsidR="007B0EB5" w:rsidTr="00050739">
        <w:trPr>
          <w:trHeight w:val="354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ABC Roads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9.800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9.800</w:t>
            </w:r>
          </w:p>
        </w:tc>
      </w:tr>
      <w:tr w:rsidR="007B0EB5" w:rsidTr="00050739">
        <w:trPr>
          <w:trHeight w:val="354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Rural Unclassified Roads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1.508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1.508</w:t>
            </w:r>
          </w:p>
        </w:tc>
      </w:tr>
      <w:tr w:rsidR="007B0EB5" w:rsidTr="00050739">
        <w:trPr>
          <w:trHeight w:val="354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Urban Unclassified Roads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2.875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2.875</w:t>
            </w:r>
          </w:p>
        </w:tc>
      </w:tr>
      <w:tr w:rsidR="007B0EB5" w:rsidTr="00050739">
        <w:trPr>
          <w:trHeight w:val="354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Footways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0.050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2.900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2.950</w:t>
            </w:r>
          </w:p>
        </w:tc>
      </w:tr>
      <w:tr w:rsidR="007B0EB5" w:rsidTr="00050739">
        <w:trPr>
          <w:trHeight w:val="354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 xml:space="preserve">Surveys &amp; Coring 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0.610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0.610</w:t>
            </w:r>
          </w:p>
        </w:tc>
      </w:tr>
      <w:tr w:rsidR="007B0EB5" w:rsidTr="00050739">
        <w:trPr>
          <w:trHeight w:val="354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Street Lighting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6.393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7.393</w:t>
            </w:r>
          </w:p>
        </w:tc>
      </w:tr>
      <w:tr w:rsidR="007B0EB5" w:rsidTr="00050739">
        <w:trPr>
          <w:trHeight w:val="354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Bridges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1.376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3.000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4.376</w:t>
            </w:r>
          </w:p>
        </w:tc>
      </w:tr>
      <w:tr w:rsidR="007B0EB5" w:rsidTr="00050739">
        <w:trPr>
          <w:trHeight w:val="354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Drainage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2.061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3.061</w:t>
            </w:r>
          </w:p>
        </w:tc>
      </w:tr>
      <w:tr w:rsidR="007B0EB5" w:rsidTr="00050739">
        <w:trPr>
          <w:trHeight w:val="354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Structural Defects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2.700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2.000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4.700</w:t>
            </w:r>
          </w:p>
        </w:tc>
      </w:tr>
      <w:tr w:rsidR="007B0EB5" w:rsidTr="00050739">
        <w:trPr>
          <w:trHeight w:val="354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Traffic Signals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0.150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0.300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0.450</w:t>
            </w:r>
          </w:p>
        </w:tc>
      </w:tr>
      <w:tr w:rsidR="007B0EB5" w:rsidTr="00050739">
        <w:trPr>
          <w:trHeight w:val="354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Geotechnical and other surveys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0.100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0.100</w:t>
            </w:r>
          </w:p>
        </w:tc>
      </w:tr>
      <w:tr w:rsidR="007B0EB5" w:rsidTr="00050739">
        <w:trPr>
          <w:trHeight w:val="354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Jet Spray Patching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</w:tr>
      <w:tr w:rsidR="007B0EB5" w:rsidTr="00050739">
        <w:trPr>
          <w:trHeight w:val="354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Project &amp; Resources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0.500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0.500</w:t>
            </w:r>
          </w:p>
        </w:tc>
      </w:tr>
      <w:tr w:rsidR="007B0EB5" w:rsidTr="00050739">
        <w:trPr>
          <w:trHeight w:val="354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Dft Pothole Action Fund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</w:tr>
      <w:tr w:rsidR="007B0EB5" w:rsidTr="00050739">
        <w:trPr>
          <w:trHeight w:val="354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Fishergate Public Realm Improvements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0.125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635BF">
              <w:rPr>
                <w:rFonts w:ascii="Arial" w:hAnsi="Arial" w:cs="Arial"/>
                <w:sz w:val="24"/>
                <w:szCs w:val="24"/>
              </w:rPr>
              <w:t>0.125</w:t>
            </w:r>
          </w:p>
        </w:tc>
      </w:tr>
      <w:tr w:rsidR="007B0EB5" w:rsidTr="00050739">
        <w:trPr>
          <w:trHeight w:val="354"/>
        </w:trPr>
        <w:tc>
          <w:tcPr>
            <w:tcW w:w="3532" w:type="dxa"/>
            <w:hideMark/>
          </w:tcPr>
          <w:p w:rsidR="00500D28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5BF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75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3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5BF">
              <w:rPr>
                <w:rFonts w:ascii="Arial" w:hAnsi="Arial" w:cs="Arial"/>
                <w:b/>
                <w:bCs/>
                <w:sz w:val="24"/>
                <w:szCs w:val="24"/>
              </w:rPr>
              <w:t>15.613</w:t>
            </w:r>
          </w:p>
        </w:tc>
        <w:tc>
          <w:tcPr>
            <w:tcW w:w="1424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ind w:left="17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5BF">
              <w:rPr>
                <w:rFonts w:ascii="Arial" w:hAnsi="Arial" w:cs="Arial"/>
                <w:b/>
                <w:bCs/>
                <w:sz w:val="24"/>
                <w:szCs w:val="24"/>
              </w:rPr>
              <w:t>31.163</w:t>
            </w:r>
          </w:p>
        </w:tc>
        <w:tc>
          <w:tcPr>
            <w:tcW w:w="1421" w:type="dxa"/>
            <w:hideMark/>
          </w:tcPr>
          <w:p w:rsidR="00500D28" w:rsidRPr="00D635BF" w:rsidRDefault="006D0C0B" w:rsidP="005A3E76">
            <w:pPr>
              <w:tabs>
                <w:tab w:val="left" w:pos="567"/>
                <w:tab w:val="left" w:pos="1701"/>
              </w:tabs>
              <w:ind w:left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5BF">
              <w:rPr>
                <w:rFonts w:ascii="Arial" w:hAnsi="Arial" w:cs="Arial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425" w:type="dxa"/>
            <w:hideMark/>
          </w:tcPr>
          <w:p w:rsidR="00500D28" w:rsidRPr="00D635BF" w:rsidRDefault="006D0C0B" w:rsidP="005A3E76">
            <w:pPr>
              <w:tabs>
                <w:tab w:val="left" w:pos="1701"/>
              </w:tabs>
              <w:ind w:left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5BF">
              <w:rPr>
                <w:rFonts w:ascii="Arial" w:hAnsi="Arial" w:cs="Arial"/>
                <w:b/>
                <w:bCs/>
                <w:sz w:val="24"/>
                <w:szCs w:val="24"/>
              </w:rPr>
              <w:t>46.776</w:t>
            </w:r>
          </w:p>
        </w:tc>
      </w:tr>
    </w:tbl>
    <w:p w:rsidR="00E80495" w:rsidRPr="00D635BF" w:rsidRDefault="006D0C0B" w:rsidP="00C6210F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sz w:val="24"/>
          <w:szCs w:val="24"/>
        </w:rPr>
      </w:pPr>
    </w:p>
    <w:p w:rsidR="00E76537" w:rsidRDefault="006D0C0B" w:rsidP="00C6210F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sz w:val="24"/>
          <w:szCs w:val="24"/>
        </w:rPr>
      </w:pPr>
    </w:p>
    <w:p w:rsidR="00C6210F" w:rsidRPr="00D635BF" w:rsidRDefault="006D0C0B" w:rsidP="00C6210F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sz w:val="24"/>
          <w:szCs w:val="24"/>
        </w:rPr>
      </w:pPr>
    </w:p>
    <w:p w:rsidR="00E76537" w:rsidRDefault="006D0C0B" w:rsidP="005A3E7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  <w:r w:rsidRPr="00D635BF">
        <w:rPr>
          <w:rFonts w:ascii="Arial" w:hAnsi="Arial" w:cs="Arial"/>
          <w:b/>
          <w:sz w:val="24"/>
          <w:szCs w:val="24"/>
        </w:rPr>
        <w:t>Transport</w:t>
      </w:r>
      <w:r w:rsidRPr="00D635BF">
        <w:rPr>
          <w:rFonts w:ascii="Arial" w:hAnsi="Arial" w:cs="Arial"/>
          <w:b/>
          <w:sz w:val="24"/>
          <w:szCs w:val="24"/>
        </w:rPr>
        <w:t xml:space="preserve"> </w:t>
      </w:r>
    </w:p>
    <w:p w:rsidR="005A3E76" w:rsidRPr="00D635BF" w:rsidRDefault="006D0C0B" w:rsidP="005A3E76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4F68D1" w:rsidRPr="00D635BF" w:rsidRDefault="006D0C0B" w:rsidP="005A3E7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>The additional monies availa</w:t>
      </w:r>
      <w:r w:rsidRPr="00D635BF">
        <w:rPr>
          <w:rFonts w:ascii="Arial" w:hAnsi="Arial" w:cs="Arial"/>
          <w:sz w:val="24"/>
          <w:szCs w:val="24"/>
        </w:rPr>
        <w:t>ble for development of the 2019/</w:t>
      </w:r>
      <w:r w:rsidRPr="00D635BF">
        <w:rPr>
          <w:rFonts w:ascii="Arial" w:hAnsi="Arial" w:cs="Arial"/>
          <w:sz w:val="24"/>
          <w:szCs w:val="24"/>
        </w:rPr>
        <w:t>20 delivery</w:t>
      </w:r>
      <w:r w:rsidRPr="00D635BF">
        <w:rPr>
          <w:rFonts w:ascii="Arial" w:hAnsi="Arial" w:cs="Arial"/>
          <w:sz w:val="24"/>
          <w:szCs w:val="24"/>
        </w:rPr>
        <w:t xml:space="preserve"> programme is £12.192m comprised of I</w:t>
      </w:r>
      <w:r w:rsidRPr="00D635BF">
        <w:rPr>
          <w:rFonts w:ascii="Arial" w:hAnsi="Arial" w:cs="Arial"/>
          <w:sz w:val="24"/>
          <w:szCs w:val="24"/>
        </w:rPr>
        <w:t xml:space="preserve">ntegrated Transport Block funding of </w:t>
      </w:r>
      <w:r w:rsidRPr="00D635BF">
        <w:rPr>
          <w:rFonts w:ascii="Arial" w:hAnsi="Arial" w:cs="Arial"/>
          <w:sz w:val="24"/>
          <w:szCs w:val="24"/>
        </w:rPr>
        <w:t>£6.054m</w:t>
      </w:r>
      <w:r w:rsidRPr="00D635BF">
        <w:rPr>
          <w:rFonts w:ascii="Arial" w:hAnsi="Arial" w:cs="Arial"/>
          <w:sz w:val="24"/>
          <w:szCs w:val="24"/>
        </w:rPr>
        <w:t>, safer</w:t>
      </w:r>
      <w:r w:rsidRPr="00D635BF">
        <w:rPr>
          <w:rFonts w:ascii="Arial" w:hAnsi="Arial" w:cs="Arial"/>
          <w:sz w:val="24"/>
          <w:szCs w:val="24"/>
        </w:rPr>
        <w:t xml:space="preserve"> roads fund</w:t>
      </w:r>
      <w:r w:rsidRPr="00D635BF">
        <w:rPr>
          <w:rFonts w:ascii="Arial" w:hAnsi="Arial" w:cs="Arial"/>
          <w:sz w:val="24"/>
          <w:szCs w:val="24"/>
        </w:rPr>
        <w:t xml:space="preserve"> totalling </w:t>
      </w:r>
      <w:r w:rsidRPr="00D635BF">
        <w:rPr>
          <w:rFonts w:ascii="Arial" w:hAnsi="Arial" w:cs="Arial"/>
          <w:sz w:val="24"/>
          <w:szCs w:val="24"/>
        </w:rPr>
        <w:t xml:space="preserve">£3.038m </w:t>
      </w:r>
      <w:r w:rsidRPr="00D635BF">
        <w:rPr>
          <w:rFonts w:ascii="Arial" w:hAnsi="Arial" w:cs="Arial"/>
          <w:sz w:val="24"/>
          <w:szCs w:val="24"/>
        </w:rPr>
        <w:t>and N</w:t>
      </w:r>
      <w:r w:rsidRPr="00D635BF">
        <w:rPr>
          <w:rFonts w:ascii="Arial" w:hAnsi="Arial" w:cs="Arial"/>
          <w:sz w:val="24"/>
          <w:szCs w:val="24"/>
        </w:rPr>
        <w:t>ational Productivity Investment Fund of</w:t>
      </w:r>
      <w:r w:rsidRPr="00D635BF">
        <w:rPr>
          <w:rFonts w:ascii="Arial" w:hAnsi="Arial" w:cs="Arial"/>
          <w:sz w:val="24"/>
          <w:szCs w:val="24"/>
        </w:rPr>
        <w:t xml:space="preserve"> £</w:t>
      </w:r>
      <w:r w:rsidRPr="00D635BF">
        <w:rPr>
          <w:rFonts w:ascii="Arial" w:hAnsi="Arial" w:cs="Arial"/>
          <w:sz w:val="24"/>
          <w:szCs w:val="24"/>
        </w:rPr>
        <w:t xml:space="preserve">3.100m. </w:t>
      </w:r>
      <w:r>
        <w:rPr>
          <w:rFonts w:ascii="Arial" w:hAnsi="Arial" w:cs="Arial"/>
          <w:sz w:val="24"/>
          <w:szCs w:val="24"/>
        </w:rPr>
        <w:t xml:space="preserve"> </w:t>
      </w:r>
      <w:r w:rsidRPr="00D635BF">
        <w:rPr>
          <w:rFonts w:ascii="Arial" w:hAnsi="Arial" w:cs="Arial"/>
          <w:sz w:val="24"/>
          <w:szCs w:val="24"/>
        </w:rPr>
        <w:t xml:space="preserve">The profiling of these amounts will be </w:t>
      </w:r>
      <w:r w:rsidRPr="00D635BF">
        <w:rPr>
          <w:rFonts w:ascii="Arial" w:hAnsi="Arial" w:cs="Arial"/>
          <w:sz w:val="24"/>
          <w:szCs w:val="24"/>
        </w:rPr>
        <w:t xml:space="preserve">re-evaluated once the </w:t>
      </w:r>
      <w:r w:rsidRPr="00D635BF">
        <w:rPr>
          <w:rFonts w:ascii="Arial" w:hAnsi="Arial" w:cs="Arial"/>
          <w:sz w:val="24"/>
          <w:szCs w:val="24"/>
        </w:rPr>
        <w:t xml:space="preserve">outturn </w:t>
      </w:r>
      <w:r w:rsidRPr="00D635BF">
        <w:rPr>
          <w:rFonts w:ascii="Arial" w:hAnsi="Arial" w:cs="Arial"/>
          <w:sz w:val="24"/>
          <w:szCs w:val="24"/>
        </w:rPr>
        <w:t xml:space="preserve">position </w:t>
      </w:r>
      <w:r w:rsidRPr="00D635BF">
        <w:rPr>
          <w:rFonts w:ascii="Arial" w:hAnsi="Arial" w:cs="Arial"/>
          <w:sz w:val="24"/>
          <w:szCs w:val="24"/>
        </w:rPr>
        <w:t xml:space="preserve">is </w:t>
      </w:r>
      <w:r w:rsidRPr="00D635BF">
        <w:rPr>
          <w:rFonts w:ascii="Arial" w:hAnsi="Arial" w:cs="Arial"/>
          <w:sz w:val="24"/>
          <w:szCs w:val="24"/>
        </w:rPr>
        <w:t>finalised.  Table 6 below details the proposed Transport Delivery Programme.</w:t>
      </w:r>
    </w:p>
    <w:p w:rsidR="004C0952" w:rsidRPr="00D635BF" w:rsidRDefault="006D0C0B" w:rsidP="005A3E7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C0952" w:rsidRPr="00D635BF" w:rsidRDefault="006D0C0B" w:rsidP="005A3E76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635BF">
        <w:rPr>
          <w:rFonts w:ascii="Arial" w:hAnsi="Arial" w:cs="Arial"/>
          <w:b/>
          <w:sz w:val="24"/>
          <w:szCs w:val="24"/>
        </w:rPr>
        <w:t xml:space="preserve">Table 6 – Transport 2019/20 Delivery Programme </w:t>
      </w:r>
    </w:p>
    <w:tbl>
      <w:tblPr>
        <w:tblW w:w="9460" w:type="dxa"/>
        <w:tblLayout w:type="fixed"/>
        <w:tblLook w:val="04A0" w:firstRow="1" w:lastRow="0" w:firstColumn="1" w:lastColumn="0" w:noHBand="0" w:noVBand="1"/>
      </w:tblPr>
      <w:tblGrid>
        <w:gridCol w:w="3392"/>
        <w:gridCol w:w="1843"/>
        <w:gridCol w:w="1418"/>
        <w:gridCol w:w="1270"/>
        <w:gridCol w:w="1537"/>
      </w:tblGrid>
      <w:tr w:rsidR="007B0EB5" w:rsidTr="00D743FC">
        <w:trPr>
          <w:trHeight w:val="1974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Programme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Existing commitments 2019/20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Additional monies received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2019/20 Grants profiled for future years spend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Initial </w:t>
            </w: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indicative programme subject to profiling</w:t>
            </w:r>
          </w:p>
        </w:tc>
      </w:tr>
      <w:tr w:rsidR="007B0EB5" w:rsidTr="00D743FC">
        <w:trPr>
          <w:trHeight w:val="38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3E76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3E76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3E76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3E76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3E76" w:rsidRPr="00D635BF" w:rsidRDefault="006D0C0B" w:rsidP="005A3E76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</w:tr>
      <w:tr w:rsidR="007B0EB5" w:rsidTr="00D743FC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City Deal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7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701"/>
              </w:tabs>
              <w:spacing w:after="0" w:line="240" w:lineRule="auto"/>
              <w:ind w:right="2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left="1"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-1.742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3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6.000</w:t>
            </w:r>
          </w:p>
        </w:tc>
      </w:tr>
      <w:tr w:rsidR="007B0EB5" w:rsidTr="00D743FC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Other transport schemes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7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701"/>
              </w:tabs>
              <w:spacing w:after="0" w:line="240" w:lineRule="auto"/>
              <w:ind w:right="2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left="1"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-3.137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3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5.312</w:t>
            </w:r>
          </w:p>
        </w:tc>
      </w:tr>
      <w:tr w:rsidR="007B0EB5" w:rsidTr="00D743FC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Safer roads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7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701"/>
              </w:tabs>
              <w:spacing w:after="0" w:line="240" w:lineRule="auto"/>
              <w:ind w:right="2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left="1"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3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3.055</w:t>
            </w:r>
          </w:p>
        </w:tc>
      </w:tr>
      <w:tr w:rsidR="007B0EB5" w:rsidTr="00D743FC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M55 Heyhouses (NPIF)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7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701"/>
              </w:tabs>
              <w:spacing w:after="0" w:line="240" w:lineRule="auto"/>
              <w:ind w:right="2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left="1"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3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3.900</w:t>
            </w:r>
          </w:p>
        </w:tc>
      </w:tr>
      <w:tr w:rsidR="007B0EB5" w:rsidTr="00D743FC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Bus Stop Equality Act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7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701"/>
              </w:tabs>
              <w:spacing w:after="0" w:line="240" w:lineRule="auto"/>
              <w:ind w:right="2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left="1"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3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0.015</w:t>
            </w:r>
          </w:p>
        </w:tc>
      </w:tr>
      <w:tr w:rsidR="007B0EB5" w:rsidTr="00D743FC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Cycling Safety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7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701"/>
              </w:tabs>
              <w:spacing w:after="0" w:line="240" w:lineRule="auto"/>
              <w:ind w:right="2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left="1"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3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0.560</w:t>
            </w:r>
          </w:p>
        </w:tc>
      </w:tr>
      <w:tr w:rsidR="007B0EB5" w:rsidTr="00D743FC">
        <w:trPr>
          <w:trHeight w:val="64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Burnley Pendle &amp; Hyndburn Growth Corridor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7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701"/>
              </w:tabs>
              <w:spacing w:after="0" w:line="240" w:lineRule="auto"/>
              <w:ind w:right="2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left="1"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3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2.690</w:t>
            </w:r>
          </w:p>
        </w:tc>
      </w:tr>
      <w:tr w:rsidR="007B0EB5" w:rsidTr="00D743FC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East Lancs Cycle Network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7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701"/>
              </w:tabs>
              <w:spacing w:after="0" w:line="240" w:lineRule="auto"/>
              <w:ind w:right="2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left="1"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3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2.248</w:t>
            </w:r>
          </w:p>
        </w:tc>
      </w:tr>
      <w:tr w:rsidR="007B0EB5" w:rsidTr="00D743FC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Hala Road Junction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7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701"/>
              </w:tabs>
              <w:spacing w:after="0" w:line="240" w:lineRule="auto"/>
              <w:ind w:right="2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left="1"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3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0.099</w:t>
            </w:r>
          </w:p>
        </w:tc>
      </w:tr>
      <w:tr w:rsidR="007B0EB5" w:rsidTr="00D743FC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Skelmersdale Rail Link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7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701"/>
              </w:tabs>
              <w:spacing w:after="0" w:line="240" w:lineRule="auto"/>
              <w:ind w:right="2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left="1"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3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0.792</w:t>
            </w:r>
          </w:p>
        </w:tc>
      </w:tr>
      <w:tr w:rsidR="007B0EB5" w:rsidTr="00D743FC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Ormskirk Town Centre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7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701"/>
              </w:tabs>
              <w:spacing w:after="0" w:line="240" w:lineRule="auto"/>
              <w:ind w:right="2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left="1"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3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0.087</w:t>
            </w:r>
          </w:p>
        </w:tc>
      </w:tr>
      <w:tr w:rsidR="007B0EB5" w:rsidTr="00D743FC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Heysham Link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7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701"/>
              </w:tabs>
              <w:spacing w:after="0" w:line="240" w:lineRule="auto"/>
              <w:ind w:right="2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left="1"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-0.780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3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2.483</w:t>
            </w:r>
          </w:p>
        </w:tc>
      </w:tr>
      <w:tr w:rsidR="007B0EB5" w:rsidTr="00D743FC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LTP - Sustainable Transport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7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701"/>
              </w:tabs>
              <w:spacing w:after="0" w:line="240" w:lineRule="auto"/>
              <w:ind w:right="2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left="1"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3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1.508</w:t>
            </w:r>
          </w:p>
        </w:tc>
      </w:tr>
      <w:tr w:rsidR="007B0EB5" w:rsidTr="00D743FC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Ribble Park &amp; Ride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7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701"/>
              </w:tabs>
              <w:spacing w:after="0" w:line="240" w:lineRule="auto"/>
              <w:ind w:right="2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left="1"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3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</w:tr>
      <w:tr w:rsidR="007B0EB5" w:rsidTr="00D743FC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Quality Bus Routes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7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701"/>
              </w:tabs>
              <w:spacing w:after="0" w:line="240" w:lineRule="auto"/>
              <w:ind w:right="2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left="1"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-0.790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3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0.200</w:t>
            </w:r>
          </w:p>
        </w:tc>
      </w:tr>
      <w:tr w:rsidR="007B0EB5" w:rsidTr="00D743FC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Road </w:t>
            </w: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Safety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7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701"/>
              </w:tabs>
              <w:spacing w:after="0" w:line="240" w:lineRule="auto"/>
              <w:ind w:right="2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left="1"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3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0.785</w:t>
            </w:r>
          </w:p>
        </w:tc>
      </w:tr>
      <w:tr w:rsidR="007B0EB5" w:rsidTr="00D743FC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Public rights of 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7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701"/>
              </w:tabs>
              <w:spacing w:after="0" w:line="240" w:lineRule="auto"/>
              <w:ind w:right="2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left="1" w:right="17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3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0.395</w:t>
            </w:r>
          </w:p>
        </w:tc>
      </w:tr>
      <w:tr w:rsidR="007B0EB5" w:rsidTr="00D743FC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635BF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7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24.434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701"/>
              </w:tabs>
              <w:spacing w:after="0" w:line="240" w:lineRule="auto"/>
              <w:ind w:right="20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12.192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left="1" w:right="17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-6.499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3B3" w:rsidRPr="00D635BF" w:rsidRDefault="006D0C0B" w:rsidP="00D743FC">
            <w:pPr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3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63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30.128</w:t>
            </w:r>
          </w:p>
        </w:tc>
      </w:tr>
    </w:tbl>
    <w:p w:rsidR="004F68D1" w:rsidRPr="00D635BF" w:rsidRDefault="006D0C0B" w:rsidP="00D743FC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sz w:val="24"/>
          <w:szCs w:val="24"/>
        </w:rPr>
      </w:pPr>
    </w:p>
    <w:p w:rsidR="004F68D1" w:rsidRDefault="006D0C0B" w:rsidP="00D743FC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  <w:r w:rsidRPr="00D635BF">
        <w:rPr>
          <w:rFonts w:ascii="Arial" w:hAnsi="Arial" w:cs="Arial"/>
          <w:b/>
          <w:sz w:val="24"/>
          <w:szCs w:val="24"/>
        </w:rPr>
        <w:t>Schools</w:t>
      </w:r>
    </w:p>
    <w:p w:rsidR="00D743FC" w:rsidRPr="00D635BF" w:rsidRDefault="006D0C0B" w:rsidP="00D743FC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A6545A" w:rsidRPr="00D635BF" w:rsidRDefault="006D0C0B" w:rsidP="00D743FC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>The Basic Needs c</w:t>
      </w:r>
      <w:r w:rsidRPr="00D635BF">
        <w:rPr>
          <w:rFonts w:ascii="Arial" w:hAnsi="Arial" w:cs="Arial"/>
          <w:sz w:val="24"/>
          <w:szCs w:val="24"/>
        </w:rPr>
        <w:t>apital funding for 2019-20 is £</w:t>
      </w:r>
      <w:r w:rsidRPr="00D635BF">
        <w:rPr>
          <w:rFonts w:ascii="Arial" w:hAnsi="Arial" w:cs="Arial"/>
          <w:sz w:val="24"/>
          <w:szCs w:val="24"/>
        </w:rPr>
        <w:t xml:space="preserve">12.005m however due to </w:t>
      </w:r>
      <w:r w:rsidRPr="00D635BF">
        <w:rPr>
          <w:rFonts w:ascii="Arial" w:hAnsi="Arial" w:cs="Arial"/>
          <w:sz w:val="24"/>
          <w:szCs w:val="24"/>
        </w:rPr>
        <w:t xml:space="preserve">the level of commitments and planned delivery in 2019/20 </w:t>
      </w:r>
      <w:r w:rsidRPr="00D635BF">
        <w:rPr>
          <w:rFonts w:ascii="Arial" w:hAnsi="Arial" w:cs="Arial"/>
          <w:sz w:val="24"/>
          <w:szCs w:val="24"/>
        </w:rPr>
        <w:t xml:space="preserve">being funded by </w:t>
      </w:r>
      <w:r w:rsidRPr="00D635BF">
        <w:rPr>
          <w:rFonts w:ascii="Arial" w:hAnsi="Arial" w:cs="Arial"/>
          <w:sz w:val="24"/>
          <w:szCs w:val="24"/>
        </w:rPr>
        <w:t>2018/</w:t>
      </w:r>
      <w:r w:rsidRPr="00D635BF">
        <w:rPr>
          <w:rFonts w:ascii="Arial" w:hAnsi="Arial" w:cs="Arial"/>
          <w:sz w:val="24"/>
          <w:szCs w:val="24"/>
        </w:rPr>
        <w:t>19 grant all this money is currently estimated to be pr</w:t>
      </w:r>
      <w:r w:rsidRPr="00D635BF">
        <w:rPr>
          <w:rFonts w:ascii="Arial" w:hAnsi="Arial" w:cs="Arial"/>
          <w:sz w:val="24"/>
          <w:szCs w:val="24"/>
        </w:rPr>
        <w:t>ofiled for spending in the 2020/</w:t>
      </w:r>
      <w:r w:rsidRPr="00D635BF">
        <w:rPr>
          <w:rFonts w:ascii="Arial" w:hAnsi="Arial" w:cs="Arial"/>
          <w:sz w:val="24"/>
          <w:szCs w:val="24"/>
        </w:rPr>
        <w:t xml:space="preserve">21 year. </w:t>
      </w:r>
    </w:p>
    <w:p w:rsidR="00862FB8" w:rsidRPr="00D635BF" w:rsidRDefault="006D0C0B" w:rsidP="00D743FC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A6545A" w:rsidRDefault="006D0C0B" w:rsidP="00D743FC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  <w:r w:rsidRPr="00D635BF">
        <w:rPr>
          <w:rFonts w:ascii="Arial" w:hAnsi="Arial" w:cs="Arial"/>
          <w:b/>
          <w:sz w:val="24"/>
          <w:szCs w:val="24"/>
        </w:rPr>
        <w:t>Corporate</w:t>
      </w:r>
    </w:p>
    <w:p w:rsidR="00D743FC" w:rsidRPr="00D635BF" w:rsidRDefault="006D0C0B" w:rsidP="00D743FC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b/>
          <w:sz w:val="24"/>
          <w:szCs w:val="24"/>
        </w:rPr>
      </w:pPr>
    </w:p>
    <w:p w:rsidR="00A6545A" w:rsidRDefault="006D0C0B" w:rsidP="00D743FC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 xml:space="preserve">Along with the existing commitments </w:t>
      </w:r>
      <w:r w:rsidRPr="00D635BF">
        <w:rPr>
          <w:rFonts w:ascii="Arial" w:hAnsi="Arial" w:cs="Arial"/>
          <w:sz w:val="24"/>
          <w:szCs w:val="24"/>
        </w:rPr>
        <w:t>of £</w:t>
      </w:r>
      <w:r w:rsidRPr="00D635BF">
        <w:rPr>
          <w:rFonts w:ascii="Arial" w:hAnsi="Arial" w:cs="Arial"/>
          <w:sz w:val="24"/>
          <w:szCs w:val="24"/>
        </w:rPr>
        <w:t xml:space="preserve">6.297m </w:t>
      </w:r>
      <w:r w:rsidRPr="00D635BF">
        <w:rPr>
          <w:rFonts w:ascii="Arial" w:hAnsi="Arial" w:cs="Arial"/>
          <w:sz w:val="24"/>
          <w:szCs w:val="24"/>
        </w:rPr>
        <w:t xml:space="preserve">to complete ongoing projects it is estimated that there will be </w:t>
      </w:r>
      <w:r w:rsidRPr="00D635BF">
        <w:rPr>
          <w:rFonts w:ascii="Arial" w:hAnsi="Arial" w:cs="Arial"/>
          <w:sz w:val="24"/>
          <w:szCs w:val="24"/>
        </w:rPr>
        <w:t xml:space="preserve">a requirement </w:t>
      </w:r>
      <w:r w:rsidRPr="00D635BF">
        <w:rPr>
          <w:rFonts w:ascii="Arial" w:hAnsi="Arial" w:cs="Arial"/>
          <w:sz w:val="24"/>
          <w:szCs w:val="24"/>
        </w:rPr>
        <w:t>for spend on the C</w:t>
      </w:r>
      <w:r w:rsidRPr="00D635BF">
        <w:rPr>
          <w:rFonts w:ascii="Arial" w:hAnsi="Arial" w:cs="Arial"/>
          <w:sz w:val="24"/>
          <w:szCs w:val="24"/>
        </w:rPr>
        <w:t>orp</w:t>
      </w:r>
      <w:r w:rsidRPr="00D635BF">
        <w:rPr>
          <w:rFonts w:ascii="Arial" w:hAnsi="Arial" w:cs="Arial"/>
          <w:sz w:val="24"/>
          <w:szCs w:val="24"/>
        </w:rPr>
        <w:t>orate property stock</w:t>
      </w:r>
      <w:r w:rsidRPr="00D635BF">
        <w:rPr>
          <w:rFonts w:ascii="Arial" w:hAnsi="Arial" w:cs="Arial"/>
          <w:sz w:val="24"/>
          <w:szCs w:val="24"/>
        </w:rPr>
        <w:t>.  The expected spend in 2019/20 is estimated to be £3</w:t>
      </w:r>
      <w:r w:rsidRPr="00D635BF">
        <w:rPr>
          <w:rFonts w:ascii="Arial" w:hAnsi="Arial" w:cs="Arial"/>
          <w:sz w:val="24"/>
          <w:szCs w:val="24"/>
        </w:rPr>
        <w:t>.000</w:t>
      </w:r>
      <w:r w:rsidRPr="00D635BF">
        <w:rPr>
          <w:rFonts w:ascii="Arial" w:hAnsi="Arial" w:cs="Arial"/>
          <w:sz w:val="24"/>
          <w:szCs w:val="24"/>
        </w:rPr>
        <w:t xml:space="preserve">m funded from borrowing with individual </w:t>
      </w:r>
      <w:r w:rsidRPr="00D635BF">
        <w:rPr>
          <w:rFonts w:ascii="Arial" w:hAnsi="Arial" w:cs="Arial"/>
          <w:sz w:val="24"/>
          <w:szCs w:val="24"/>
        </w:rPr>
        <w:t>projects under £0.3</w:t>
      </w:r>
      <w:r w:rsidRPr="00D635BF">
        <w:rPr>
          <w:rFonts w:ascii="Arial" w:hAnsi="Arial" w:cs="Arial"/>
          <w:sz w:val="24"/>
          <w:szCs w:val="24"/>
        </w:rPr>
        <w:t>00</w:t>
      </w:r>
      <w:r w:rsidRPr="00D635BF">
        <w:rPr>
          <w:rFonts w:ascii="Arial" w:hAnsi="Arial" w:cs="Arial"/>
          <w:sz w:val="24"/>
          <w:szCs w:val="24"/>
        </w:rPr>
        <w:t>m being approved for commencement by capital board and projects over £0.3</w:t>
      </w:r>
      <w:r w:rsidRPr="00D635BF">
        <w:rPr>
          <w:rFonts w:ascii="Arial" w:hAnsi="Arial" w:cs="Arial"/>
          <w:sz w:val="24"/>
          <w:szCs w:val="24"/>
        </w:rPr>
        <w:t>00</w:t>
      </w:r>
      <w:r w:rsidRPr="00D635BF">
        <w:rPr>
          <w:rFonts w:ascii="Arial" w:hAnsi="Arial" w:cs="Arial"/>
          <w:sz w:val="24"/>
          <w:szCs w:val="24"/>
        </w:rPr>
        <w:t>m requiring cabinet a</w:t>
      </w:r>
      <w:r w:rsidRPr="00D635BF">
        <w:rPr>
          <w:rFonts w:ascii="Arial" w:hAnsi="Arial" w:cs="Arial"/>
          <w:sz w:val="24"/>
          <w:szCs w:val="24"/>
        </w:rPr>
        <w:t xml:space="preserve">pproval before commencement. </w:t>
      </w:r>
    </w:p>
    <w:p w:rsidR="00D743FC" w:rsidRPr="00D635BF" w:rsidRDefault="006D0C0B" w:rsidP="00D743FC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03720" w:rsidRPr="00D635BF" w:rsidRDefault="006D0C0B" w:rsidP="00D743FC">
      <w:pPr>
        <w:tabs>
          <w:tab w:val="left" w:pos="567"/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 xml:space="preserve">As has been the case over the last few years it is expected that there will be requests through the year for spend on </w:t>
      </w:r>
      <w:r w:rsidRPr="00D635BF">
        <w:rPr>
          <w:rFonts w:ascii="Arial" w:hAnsi="Arial" w:cs="Arial"/>
          <w:sz w:val="24"/>
          <w:szCs w:val="24"/>
        </w:rPr>
        <w:t xml:space="preserve">economic development projects, </w:t>
      </w:r>
      <w:r w:rsidRPr="00D635BF">
        <w:rPr>
          <w:rFonts w:ascii="Arial" w:hAnsi="Arial" w:cs="Arial"/>
          <w:sz w:val="24"/>
          <w:szCs w:val="24"/>
        </w:rPr>
        <w:t xml:space="preserve">either gap funding of projects </w:t>
      </w:r>
      <w:r w:rsidRPr="00D635BF">
        <w:rPr>
          <w:rFonts w:ascii="Arial" w:hAnsi="Arial" w:cs="Arial"/>
          <w:sz w:val="24"/>
          <w:szCs w:val="24"/>
        </w:rPr>
        <w:t xml:space="preserve">or case building appraisal work. It is requested </w:t>
      </w:r>
      <w:r w:rsidRPr="00D635BF">
        <w:rPr>
          <w:rFonts w:ascii="Arial" w:hAnsi="Arial" w:cs="Arial"/>
          <w:sz w:val="24"/>
          <w:szCs w:val="24"/>
        </w:rPr>
        <w:t>that a pot of £2</w:t>
      </w:r>
      <w:r w:rsidRPr="00D635BF">
        <w:rPr>
          <w:rFonts w:ascii="Arial" w:hAnsi="Arial" w:cs="Arial"/>
          <w:sz w:val="24"/>
          <w:szCs w:val="24"/>
        </w:rPr>
        <w:t>.000</w:t>
      </w:r>
      <w:r w:rsidRPr="00D635BF">
        <w:rPr>
          <w:rFonts w:ascii="Arial" w:hAnsi="Arial" w:cs="Arial"/>
          <w:sz w:val="24"/>
          <w:szCs w:val="24"/>
        </w:rPr>
        <w:t>m funded from additional borrowing is created</w:t>
      </w:r>
      <w:r w:rsidRPr="00D635BF">
        <w:rPr>
          <w:rFonts w:ascii="Arial" w:hAnsi="Arial" w:cs="Arial"/>
          <w:sz w:val="24"/>
          <w:szCs w:val="24"/>
        </w:rPr>
        <w:t>,</w:t>
      </w:r>
      <w:r w:rsidRPr="00D635BF">
        <w:rPr>
          <w:rFonts w:ascii="Arial" w:hAnsi="Arial" w:cs="Arial"/>
          <w:sz w:val="24"/>
          <w:szCs w:val="24"/>
        </w:rPr>
        <w:t xml:space="preserve"> and for projects requiring this funding due to their significance regionally, or potential commitment to future capital asks should be appro</w:t>
      </w:r>
      <w:r w:rsidRPr="00D635BF">
        <w:rPr>
          <w:rFonts w:ascii="Arial" w:hAnsi="Arial" w:cs="Arial"/>
          <w:sz w:val="24"/>
          <w:szCs w:val="24"/>
        </w:rPr>
        <w:t xml:space="preserve">ved by cabinet before commencement.  </w:t>
      </w:r>
    </w:p>
    <w:p w:rsidR="00D03720" w:rsidRPr="00D635BF" w:rsidRDefault="006D0C0B" w:rsidP="00D743FC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sz w:val="24"/>
          <w:szCs w:val="24"/>
        </w:rPr>
      </w:pPr>
    </w:p>
    <w:p w:rsidR="002D357D" w:rsidRPr="00D635BF" w:rsidRDefault="006D0C0B" w:rsidP="00D635BF">
      <w:pPr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D635BF">
        <w:rPr>
          <w:rFonts w:ascii="Arial" w:hAnsi="Arial" w:cs="Arial"/>
          <w:b/>
          <w:sz w:val="24"/>
          <w:szCs w:val="24"/>
        </w:rPr>
        <w:t>Adult Social Care</w:t>
      </w:r>
    </w:p>
    <w:p w:rsidR="002D357D" w:rsidRPr="00D635BF" w:rsidRDefault="006D0C0B" w:rsidP="00C6210F">
      <w:pPr>
        <w:tabs>
          <w:tab w:val="left" w:pos="567"/>
          <w:tab w:val="left" w:pos="1134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D635BF">
        <w:rPr>
          <w:rFonts w:ascii="Arial" w:hAnsi="Arial" w:cs="Arial"/>
          <w:sz w:val="24"/>
          <w:szCs w:val="24"/>
        </w:rPr>
        <w:t>£13.652m of the A</w:t>
      </w:r>
      <w:r w:rsidRPr="00D635BF">
        <w:rPr>
          <w:rFonts w:ascii="Arial" w:hAnsi="Arial" w:cs="Arial"/>
          <w:sz w:val="24"/>
          <w:szCs w:val="24"/>
        </w:rPr>
        <w:t>dult Social Care</w:t>
      </w:r>
      <w:r w:rsidRPr="00D635BF">
        <w:rPr>
          <w:rFonts w:ascii="Arial" w:hAnsi="Arial" w:cs="Arial"/>
          <w:sz w:val="24"/>
          <w:szCs w:val="24"/>
        </w:rPr>
        <w:t xml:space="preserve"> capital delivery programme is an estimated amount for the Disabled Facilities Grant which is received in and then passported out to district</w:t>
      </w:r>
      <w:r w:rsidRPr="00D635BF">
        <w:rPr>
          <w:rFonts w:ascii="Arial" w:hAnsi="Arial" w:cs="Arial"/>
          <w:sz w:val="24"/>
          <w:szCs w:val="24"/>
        </w:rPr>
        <w:t xml:space="preserve"> councils to del</w:t>
      </w:r>
      <w:r>
        <w:rPr>
          <w:rFonts w:ascii="Arial" w:hAnsi="Arial" w:cs="Arial"/>
          <w:sz w:val="24"/>
          <w:szCs w:val="24"/>
        </w:rPr>
        <w:t>i</w:t>
      </w:r>
      <w:r w:rsidRPr="00D635BF">
        <w:rPr>
          <w:rFonts w:ascii="Arial" w:hAnsi="Arial" w:cs="Arial"/>
          <w:sz w:val="24"/>
          <w:szCs w:val="24"/>
        </w:rPr>
        <w:t>ver</w:t>
      </w:r>
      <w:r w:rsidRPr="00D635BF">
        <w:rPr>
          <w:rFonts w:ascii="Arial" w:hAnsi="Arial" w:cs="Arial"/>
          <w:sz w:val="24"/>
          <w:szCs w:val="24"/>
        </w:rPr>
        <w:t>.</w:t>
      </w:r>
    </w:p>
    <w:p w:rsidR="002D357D" w:rsidRPr="00D635BF" w:rsidRDefault="006D0C0B" w:rsidP="00C6210F">
      <w:pPr>
        <w:tabs>
          <w:tab w:val="left" w:pos="567"/>
          <w:tab w:val="left" w:pos="1134"/>
          <w:tab w:val="left" w:pos="1701"/>
        </w:tabs>
        <w:spacing w:after="0"/>
        <w:rPr>
          <w:rFonts w:ascii="Arial" w:hAnsi="Arial" w:cs="Arial"/>
          <w:sz w:val="24"/>
          <w:szCs w:val="24"/>
        </w:rPr>
      </w:pPr>
    </w:p>
    <w:sectPr w:rsidR="002D357D" w:rsidRPr="00D63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0C0B">
      <w:pPr>
        <w:spacing w:after="0" w:line="240" w:lineRule="auto"/>
      </w:pPr>
      <w:r>
        <w:separator/>
      </w:r>
    </w:p>
  </w:endnote>
  <w:endnote w:type="continuationSeparator" w:id="0">
    <w:p w:rsidR="00000000" w:rsidRDefault="006D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829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3FC" w:rsidRDefault="006D0C0B" w:rsidP="006D0C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743FC" w:rsidRDefault="006D0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0C0B">
      <w:pPr>
        <w:spacing w:after="0" w:line="240" w:lineRule="auto"/>
      </w:pPr>
      <w:r>
        <w:separator/>
      </w:r>
    </w:p>
  </w:footnote>
  <w:footnote w:type="continuationSeparator" w:id="0">
    <w:p w:rsidR="00000000" w:rsidRDefault="006D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FC" w:rsidRDefault="006D0C0B">
    <w:pPr>
      <w:pStyle w:val="Header"/>
    </w:pPr>
    <w:sdt>
      <w:sdtPr>
        <w:id w:val="-20630899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  <w:p w:rsidR="00D743FC" w:rsidRDefault="006D0C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FC" w:rsidRDefault="006D0C0B" w:rsidP="00D743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-714375</wp:posOffset>
          </wp:positionV>
          <wp:extent cx="7564755" cy="10689590"/>
          <wp:effectExtent l="0" t="0" r="0" b="0"/>
          <wp:wrapNone/>
          <wp:docPr id="5" name="Picture 5" descr="5085 Report Fr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2079054" name="Picture 1" descr="5085 Report Fr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0C9E"/>
    <w:multiLevelType w:val="hybridMultilevel"/>
    <w:tmpl w:val="636C863E"/>
    <w:lvl w:ilvl="0" w:tplc="70D04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84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0E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EE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C4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24A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89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CC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CF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C1CBB"/>
    <w:multiLevelType w:val="hybridMultilevel"/>
    <w:tmpl w:val="CE461412"/>
    <w:lvl w:ilvl="0" w:tplc="1ED2D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A6D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B27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27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AD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F80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09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C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8A3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70BE"/>
    <w:multiLevelType w:val="hybridMultilevel"/>
    <w:tmpl w:val="F9560D62"/>
    <w:lvl w:ilvl="0" w:tplc="08D05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44E0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0E6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25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04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D206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4F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E7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E86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25661"/>
    <w:multiLevelType w:val="hybridMultilevel"/>
    <w:tmpl w:val="DE04D486"/>
    <w:lvl w:ilvl="0" w:tplc="B29A3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50D138" w:tentative="1">
      <w:start w:val="1"/>
      <w:numFmt w:val="lowerLetter"/>
      <w:lvlText w:val="%2."/>
      <w:lvlJc w:val="left"/>
      <w:pPr>
        <w:ind w:left="1440" w:hanging="360"/>
      </w:pPr>
    </w:lvl>
    <w:lvl w:ilvl="2" w:tplc="E26023DE" w:tentative="1">
      <w:start w:val="1"/>
      <w:numFmt w:val="lowerRoman"/>
      <w:lvlText w:val="%3."/>
      <w:lvlJc w:val="right"/>
      <w:pPr>
        <w:ind w:left="2160" w:hanging="180"/>
      </w:pPr>
    </w:lvl>
    <w:lvl w:ilvl="3" w:tplc="6882BC64" w:tentative="1">
      <w:start w:val="1"/>
      <w:numFmt w:val="decimal"/>
      <w:lvlText w:val="%4."/>
      <w:lvlJc w:val="left"/>
      <w:pPr>
        <w:ind w:left="2880" w:hanging="360"/>
      </w:pPr>
    </w:lvl>
    <w:lvl w:ilvl="4" w:tplc="F966695C" w:tentative="1">
      <w:start w:val="1"/>
      <w:numFmt w:val="lowerLetter"/>
      <w:lvlText w:val="%5."/>
      <w:lvlJc w:val="left"/>
      <w:pPr>
        <w:ind w:left="3600" w:hanging="360"/>
      </w:pPr>
    </w:lvl>
    <w:lvl w:ilvl="5" w:tplc="4F7CAF38" w:tentative="1">
      <w:start w:val="1"/>
      <w:numFmt w:val="lowerRoman"/>
      <w:lvlText w:val="%6."/>
      <w:lvlJc w:val="right"/>
      <w:pPr>
        <w:ind w:left="4320" w:hanging="180"/>
      </w:pPr>
    </w:lvl>
    <w:lvl w:ilvl="6" w:tplc="67CEA256" w:tentative="1">
      <w:start w:val="1"/>
      <w:numFmt w:val="decimal"/>
      <w:lvlText w:val="%7."/>
      <w:lvlJc w:val="left"/>
      <w:pPr>
        <w:ind w:left="5040" w:hanging="360"/>
      </w:pPr>
    </w:lvl>
    <w:lvl w:ilvl="7" w:tplc="38B2572C" w:tentative="1">
      <w:start w:val="1"/>
      <w:numFmt w:val="lowerLetter"/>
      <w:lvlText w:val="%8."/>
      <w:lvlJc w:val="left"/>
      <w:pPr>
        <w:ind w:left="5760" w:hanging="360"/>
      </w:pPr>
    </w:lvl>
    <w:lvl w:ilvl="8" w:tplc="CDD62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720F3"/>
    <w:multiLevelType w:val="hybridMultilevel"/>
    <w:tmpl w:val="DE04D486"/>
    <w:lvl w:ilvl="0" w:tplc="7EA4E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965D6E" w:tentative="1">
      <w:start w:val="1"/>
      <w:numFmt w:val="lowerLetter"/>
      <w:lvlText w:val="%2."/>
      <w:lvlJc w:val="left"/>
      <w:pPr>
        <w:ind w:left="1440" w:hanging="360"/>
      </w:pPr>
    </w:lvl>
    <w:lvl w:ilvl="2" w:tplc="B1E87F80" w:tentative="1">
      <w:start w:val="1"/>
      <w:numFmt w:val="lowerRoman"/>
      <w:lvlText w:val="%3."/>
      <w:lvlJc w:val="right"/>
      <w:pPr>
        <w:ind w:left="2160" w:hanging="180"/>
      </w:pPr>
    </w:lvl>
    <w:lvl w:ilvl="3" w:tplc="D36A25DE" w:tentative="1">
      <w:start w:val="1"/>
      <w:numFmt w:val="decimal"/>
      <w:lvlText w:val="%4."/>
      <w:lvlJc w:val="left"/>
      <w:pPr>
        <w:ind w:left="2880" w:hanging="360"/>
      </w:pPr>
    </w:lvl>
    <w:lvl w:ilvl="4" w:tplc="425A021A" w:tentative="1">
      <w:start w:val="1"/>
      <w:numFmt w:val="lowerLetter"/>
      <w:lvlText w:val="%5."/>
      <w:lvlJc w:val="left"/>
      <w:pPr>
        <w:ind w:left="3600" w:hanging="360"/>
      </w:pPr>
    </w:lvl>
    <w:lvl w:ilvl="5" w:tplc="083E6EBA" w:tentative="1">
      <w:start w:val="1"/>
      <w:numFmt w:val="lowerRoman"/>
      <w:lvlText w:val="%6."/>
      <w:lvlJc w:val="right"/>
      <w:pPr>
        <w:ind w:left="4320" w:hanging="180"/>
      </w:pPr>
    </w:lvl>
    <w:lvl w:ilvl="6" w:tplc="4E2EA362" w:tentative="1">
      <w:start w:val="1"/>
      <w:numFmt w:val="decimal"/>
      <w:lvlText w:val="%7."/>
      <w:lvlJc w:val="left"/>
      <w:pPr>
        <w:ind w:left="5040" w:hanging="360"/>
      </w:pPr>
    </w:lvl>
    <w:lvl w:ilvl="7" w:tplc="831C6DDA" w:tentative="1">
      <w:start w:val="1"/>
      <w:numFmt w:val="lowerLetter"/>
      <w:lvlText w:val="%8."/>
      <w:lvlJc w:val="left"/>
      <w:pPr>
        <w:ind w:left="5760" w:hanging="360"/>
      </w:pPr>
    </w:lvl>
    <w:lvl w:ilvl="8" w:tplc="BF9EB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76187"/>
    <w:multiLevelType w:val="hybridMultilevel"/>
    <w:tmpl w:val="FF2A742E"/>
    <w:lvl w:ilvl="0" w:tplc="8A0ED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7CA9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56E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60F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C5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A4D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47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EF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863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D32"/>
    <w:multiLevelType w:val="hybridMultilevel"/>
    <w:tmpl w:val="771A7F4C"/>
    <w:lvl w:ilvl="0" w:tplc="C15A1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407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801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EA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C6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58C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45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66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682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36069"/>
    <w:multiLevelType w:val="hybridMultilevel"/>
    <w:tmpl w:val="A41C36CA"/>
    <w:lvl w:ilvl="0" w:tplc="51441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C5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FAC6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2E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A1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E22E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C5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8B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AD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E37F6"/>
    <w:multiLevelType w:val="hybridMultilevel"/>
    <w:tmpl w:val="29A2A04E"/>
    <w:lvl w:ilvl="0" w:tplc="B18E2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E50AC" w:tentative="1">
      <w:start w:val="1"/>
      <w:numFmt w:val="lowerLetter"/>
      <w:lvlText w:val="%2."/>
      <w:lvlJc w:val="left"/>
      <w:pPr>
        <w:ind w:left="1440" w:hanging="360"/>
      </w:pPr>
    </w:lvl>
    <w:lvl w:ilvl="2" w:tplc="55005096" w:tentative="1">
      <w:start w:val="1"/>
      <w:numFmt w:val="lowerRoman"/>
      <w:lvlText w:val="%3."/>
      <w:lvlJc w:val="right"/>
      <w:pPr>
        <w:ind w:left="2160" w:hanging="180"/>
      </w:pPr>
    </w:lvl>
    <w:lvl w:ilvl="3" w:tplc="FF6C8AD2" w:tentative="1">
      <w:start w:val="1"/>
      <w:numFmt w:val="decimal"/>
      <w:lvlText w:val="%4."/>
      <w:lvlJc w:val="left"/>
      <w:pPr>
        <w:ind w:left="2880" w:hanging="360"/>
      </w:pPr>
    </w:lvl>
    <w:lvl w:ilvl="4" w:tplc="07DE4C12" w:tentative="1">
      <w:start w:val="1"/>
      <w:numFmt w:val="lowerLetter"/>
      <w:lvlText w:val="%5."/>
      <w:lvlJc w:val="left"/>
      <w:pPr>
        <w:ind w:left="3600" w:hanging="360"/>
      </w:pPr>
    </w:lvl>
    <w:lvl w:ilvl="5" w:tplc="BD447202" w:tentative="1">
      <w:start w:val="1"/>
      <w:numFmt w:val="lowerRoman"/>
      <w:lvlText w:val="%6."/>
      <w:lvlJc w:val="right"/>
      <w:pPr>
        <w:ind w:left="4320" w:hanging="180"/>
      </w:pPr>
    </w:lvl>
    <w:lvl w:ilvl="6" w:tplc="4440E204" w:tentative="1">
      <w:start w:val="1"/>
      <w:numFmt w:val="decimal"/>
      <w:lvlText w:val="%7."/>
      <w:lvlJc w:val="left"/>
      <w:pPr>
        <w:ind w:left="5040" w:hanging="360"/>
      </w:pPr>
    </w:lvl>
    <w:lvl w:ilvl="7" w:tplc="3A28A182" w:tentative="1">
      <w:start w:val="1"/>
      <w:numFmt w:val="lowerLetter"/>
      <w:lvlText w:val="%8."/>
      <w:lvlJc w:val="left"/>
      <w:pPr>
        <w:ind w:left="5760" w:hanging="360"/>
      </w:pPr>
    </w:lvl>
    <w:lvl w:ilvl="8" w:tplc="65F4DE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D2AD9"/>
    <w:multiLevelType w:val="hybridMultilevel"/>
    <w:tmpl w:val="255A7776"/>
    <w:lvl w:ilvl="0" w:tplc="E382AB3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9AEB2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BDA6FE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58017B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A3C712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7C0644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3AEDAC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542BF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B86E31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F6591F"/>
    <w:multiLevelType w:val="hybridMultilevel"/>
    <w:tmpl w:val="A5FAFC84"/>
    <w:lvl w:ilvl="0" w:tplc="F2401C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F05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92D19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F694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B053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61C42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BCC4D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562C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1520F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F31AC9"/>
    <w:multiLevelType w:val="hybridMultilevel"/>
    <w:tmpl w:val="9AD68878"/>
    <w:lvl w:ilvl="0" w:tplc="D9AE648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188A9C6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8A4CE714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989E7DE6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807EFD34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7BBC585C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52D3D0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79122DE4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B66997C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D950881"/>
    <w:multiLevelType w:val="hybridMultilevel"/>
    <w:tmpl w:val="39FE11E0"/>
    <w:lvl w:ilvl="0" w:tplc="BB568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0F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0C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26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49F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161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ED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65B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F81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B5"/>
    <w:rsid w:val="00091766"/>
    <w:rsid w:val="00180FE9"/>
    <w:rsid w:val="006D0C0B"/>
    <w:rsid w:val="007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24C9D-1BB9-4567-982A-2D73F2E6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6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4DD"/>
    <w:pPr>
      <w:ind w:left="720"/>
      <w:contextualSpacing/>
    </w:pPr>
  </w:style>
  <w:style w:type="table" w:styleId="TableGrid">
    <w:name w:val="Table Grid"/>
    <w:basedOn w:val="TableNormal"/>
    <w:uiPriority w:val="39"/>
    <w:rsid w:val="00E8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04F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D635BF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Helvetica-Light"/>
      <w:color w:val="FFFFFF"/>
    </w:rPr>
  </w:style>
  <w:style w:type="character" w:customStyle="1" w:styleId="HeaderChar">
    <w:name w:val="Header Char"/>
    <w:basedOn w:val="DefaultParagraphFont"/>
    <w:link w:val="Header"/>
    <w:uiPriority w:val="99"/>
    <w:rsid w:val="00D635BF"/>
    <w:rPr>
      <w:rFonts w:ascii="Arial" w:eastAsia="Calibri" w:hAnsi="Arial" w:cs="Helvetica-Light"/>
      <w:color w:val="FFFFFF"/>
    </w:rPr>
  </w:style>
  <w:style w:type="paragraph" w:styleId="Footer">
    <w:name w:val="footer"/>
    <w:basedOn w:val="Normal"/>
    <w:link w:val="FooterChar"/>
    <w:uiPriority w:val="99"/>
    <w:rsid w:val="00D635BF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Helvetica-Light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D635BF"/>
    <w:rPr>
      <w:rFonts w:ascii="Arial" w:eastAsia="Calibri" w:hAnsi="Arial" w:cs="Helvetica-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C743-4232-4CEA-8982-90EA739A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Emma</dc:creator>
  <cp:lastModifiedBy>Gorman, Dave</cp:lastModifiedBy>
  <cp:revision>9</cp:revision>
  <cp:lastPrinted>2019-01-22T13:52:00Z</cp:lastPrinted>
  <dcterms:created xsi:type="dcterms:W3CDTF">2019-01-23T11:22:00Z</dcterms:created>
  <dcterms:modified xsi:type="dcterms:W3CDTF">2019-01-30T14:44:00Z</dcterms:modified>
</cp:coreProperties>
</file>